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424" w:rsidRPr="00AD1424" w:rsidRDefault="00AD1424" w:rsidP="00AD1424">
      <w:pPr>
        <w:spacing w:after="0" w:line="360" w:lineRule="auto"/>
        <w:ind w:firstLine="709"/>
        <w:jc w:val="both"/>
        <w:rPr>
          <w:rFonts w:ascii="Century" w:eastAsia="Calibri" w:hAnsi="Century" w:cs="Times New Roman"/>
          <w:sz w:val="24"/>
          <w:szCs w:val="24"/>
          <w:lang w:val="es-ES" w:eastAsia="es-ES"/>
        </w:rPr>
      </w:pPr>
      <w:r w:rsidRPr="00AD1424">
        <w:rPr>
          <w:rFonts w:ascii="Century" w:eastAsia="Calibri" w:hAnsi="Century" w:cs="Times New Roman"/>
          <w:sz w:val="24"/>
          <w:szCs w:val="24"/>
          <w:lang w:val="es-ES" w:eastAsia="es-ES"/>
        </w:rPr>
        <w:t xml:space="preserve">León, Guanajuato, a 11 once de abril del año 2018 dos mil dieciocho. </w:t>
      </w:r>
    </w:p>
    <w:p w:rsidR="00AD1424" w:rsidRPr="00AD1424" w:rsidRDefault="00AD1424" w:rsidP="00AD1424">
      <w:pPr>
        <w:spacing w:after="0" w:line="360" w:lineRule="auto"/>
        <w:ind w:firstLine="709"/>
        <w:jc w:val="both"/>
        <w:rPr>
          <w:rFonts w:ascii="Century" w:eastAsia="Calibri" w:hAnsi="Century" w:cs="Times New Roman"/>
          <w:sz w:val="24"/>
          <w:szCs w:val="24"/>
          <w:lang w:val="es-ES" w:eastAsia="es-ES"/>
        </w:rPr>
      </w:pPr>
    </w:p>
    <w:p w:rsidR="00AD1424" w:rsidRPr="00AD1424" w:rsidRDefault="00AD1424" w:rsidP="00AD1424">
      <w:pPr>
        <w:spacing w:after="0" w:line="360" w:lineRule="auto"/>
        <w:ind w:firstLine="709"/>
        <w:jc w:val="both"/>
        <w:rPr>
          <w:rFonts w:ascii="Century" w:eastAsia="Calibri" w:hAnsi="Century" w:cs="Times New Roman"/>
          <w:sz w:val="24"/>
          <w:szCs w:val="24"/>
          <w:lang w:val="es-ES" w:eastAsia="es-ES"/>
        </w:rPr>
      </w:pPr>
      <w:r w:rsidRPr="00AD1424">
        <w:rPr>
          <w:rFonts w:ascii="Century" w:eastAsia="Calibri" w:hAnsi="Century" w:cs="Times New Roman"/>
          <w:b/>
          <w:sz w:val="24"/>
          <w:szCs w:val="24"/>
          <w:lang w:val="es-ES" w:eastAsia="es-ES"/>
        </w:rPr>
        <w:t>V I S T O</w:t>
      </w:r>
      <w:r w:rsidRPr="00AD1424">
        <w:rPr>
          <w:rFonts w:ascii="Century" w:eastAsia="Calibri" w:hAnsi="Century" w:cs="Times New Roman"/>
          <w:sz w:val="24"/>
          <w:szCs w:val="24"/>
          <w:lang w:val="es-ES" w:eastAsia="es-ES"/>
        </w:rPr>
        <w:t xml:space="preserve"> para resolver el expediente número </w:t>
      </w:r>
      <w:r w:rsidRPr="00AD1424">
        <w:rPr>
          <w:rFonts w:ascii="Century" w:eastAsia="Calibri" w:hAnsi="Century" w:cs="Times New Roman"/>
          <w:b/>
          <w:sz w:val="24"/>
          <w:szCs w:val="24"/>
          <w:lang w:val="es-ES" w:eastAsia="es-ES"/>
        </w:rPr>
        <w:t>0396/2015-JN</w:t>
      </w:r>
      <w:r w:rsidRPr="00AD1424">
        <w:rPr>
          <w:rFonts w:ascii="Century" w:eastAsia="Calibri" w:hAnsi="Century" w:cs="Times New Roman"/>
          <w:sz w:val="24"/>
          <w:szCs w:val="24"/>
          <w:lang w:val="es-ES" w:eastAsia="es-ES"/>
        </w:rPr>
        <w:t xml:space="preserve">, que contiene las actuaciones del proceso administrativo iniciado con motivo de la demanda interpuesta por la ciudadana </w:t>
      </w:r>
      <w:r w:rsidR="0006672B">
        <w:rPr>
          <w:rFonts w:ascii="Century" w:eastAsia="Calibri" w:hAnsi="Century" w:cs="Times New Roman"/>
          <w:b/>
          <w:sz w:val="24"/>
          <w:szCs w:val="24"/>
          <w:lang w:val="es-ES" w:eastAsia="es-ES"/>
        </w:rPr>
        <w:t>(.....)</w:t>
      </w:r>
      <w:r w:rsidRPr="00AD1424">
        <w:rPr>
          <w:rFonts w:ascii="Century" w:eastAsia="Calibri" w:hAnsi="Century" w:cs="Times New Roman"/>
          <w:b/>
          <w:sz w:val="24"/>
          <w:szCs w:val="24"/>
          <w:lang w:val="es-ES" w:eastAsia="es-ES"/>
        </w:rPr>
        <w:t>;</w:t>
      </w:r>
      <w:r w:rsidRPr="00AD1424">
        <w:rPr>
          <w:rFonts w:ascii="Century" w:eastAsia="Calibri" w:hAnsi="Century" w:cs="Times New Roman"/>
          <w:sz w:val="24"/>
          <w:szCs w:val="24"/>
          <w:lang w:val="es-ES" w:eastAsia="es-ES"/>
        </w:rPr>
        <w:t xml:space="preserve"> y --</w:t>
      </w:r>
    </w:p>
    <w:p w:rsidR="00AD1424" w:rsidRPr="00AD1424" w:rsidRDefault="00AD1424" w:rsidP="00AD1424">
      <w:pPr>
        <w:spacing w:after="0" w:line="360" w:lineRule="auto"/>
        <w:ind w:firstLine="708"/>
        <w:jc w:val="both"/>
        <w:rPr>
          <w:rFonts w:ascii="Century" w:eastAsia="Calibri" w:hAnsi="Century" w:cs="Times New Roman"/>
          <w:sz w:val="24"/>
          <w:szCs w:val="24"/>
          <w:lang w:val="es-ES" w:eastAsia="es-ES"/>
        </w:rPr>
      </w:pPr>
    </w:p>
    <w:p w:rsidR="00AD1424" w:rsidRPr="00AD1424" w:rsidRDefault="00AD1424" w:rsidP="00AD1424">
      <w:pPr>
        <w:spacing w:after="0" w:line="360" w:lineRule="auto"/>
        <w:ind w:firstLine="708"/>
        <w:jc w:val="both"/>
        <w:rPr>
          <w:rFonts w:ascii="Century" w:eastAsia="Calibri" w:hAnsi="Century" w:cs="Times New Roman"/>
          <w:sz w:val="24"/>
          <w:szCs w:val="24"/>
          <w:lang w:val="es-ES" w:eastAsia="es-ES"/>
        </w:rPr>
      </w:pPr>
    </w:p>
    <w:p w:rsidR="00AD1424" w:rsidRPr="00AD1424" w:rsidRDefault="00AD1424" w:rsidP="00AD1424">
      <w:pPr>
        <w:spacing w:after="0" w:line="360" w:lineRule="auto"/>
        <w:ind w:firstLine="708"/>
        <w:jc w:val="center"/>
        <w:rPr>
          <w:rFonts w:ascii="Century" w:eastAsia="Calibri" w:hAnsi="Century" w:cs="Calibri"/>
          <w:b/>
          <w:bCs/>
          <w:iCs/>
          <w:sz w:val="24"/>
          <w:szCs w:val="24"/>
          <w:lang w:eastAsia="es-ES"/>
        </w:rPr>
      </w:pPr>
      <w:r w:rsidRPr="00AD1424">
        <w:rPr>
          <w:rFonts w:ascii="Century" w:eastAsia="Calibri" w:hAnsi="Century" w:cs="Calibri"/>
          <w:b/>
          <w:bCs/>
          <w:iCs/>
          <w:sz w:val="24"/>
          <w:szCs w:val="24"/>
          <w:lang w:eastAsia="es-ES"/>
        </w:rPr>
        <w:t>C O N S I D E R A N D O :</w:t>
      </w:r>
    </w:p>
    <w:p w:rsidR="00AD1424" w:rsidRPr="00AD1424" w:rsidRDefault="00AD1424" w:rsidP="00AD1424">
      <w:pPr>
        <w:spacing w:after="0" w:line="360" w:lineRule="auto"/>
        <w:ind w:firstLine="708"/>
        <w:jc w:val="center"/>
        <w:rPr>
          <w:rFonts w:ascii="Century" w:eastAsia="Calibri" w:hAnsi="Century" w:cs="Calibri"/>
          <w:b/>
          <w:bCs/>
          <w:iCs/>
          <w:sz w:val="24"/>
          <w:szCs w:val="24"/>
          <w:lang w:eastAsia="es-ES"/>
        </w:rPr>
      </w:pPr>
    </w:p>
    <w:p w:rsidR="00AD1424" w:rsidRPr="00AD1424" w:rsidRDefault="00AD1424" w:rsidP="00AD1424">
      <w:pPr>
        <w:spacing w:after="0" w:line="360" w:lineRule="auto"/>
        <w:jc w:val="both"/>
        <w:rPr>
          <w:rFonts w:ascii="Century" w:eastAsia="Calibri" w:hAnsi="Century" w:cs="Calibri"/>
          <w:b/>
          <w:bCs/>
          <w:sz w:val="24"/>
          <w:szCs w:val="24"/>
          <w:lang w:eastAsia="es-ES"/>
        </w:rPr>
      </w:pPr>
      <w:bookmarkStart w:id="0" w:name="_GoBack"/>
      <w:bookmarkEnd w:id="0"/>
    </w:p>
    <w:p w:rsidR="00AD1424" w:rsidRPr="00AD1424" w:rsidRDefault="00AD1424" w:rsidP="00AD1424">
      <w:pPr>
        <w:spacing w:after="0" w:line="360" w:lineRule="auto"/>
        <w:ind w:firstLine="708"/>
        <w:jc w:val="both"/>
        <w:rPr>
          <w:rFonts w:ascii="Century" w:eastAsia="Calibri" w:hAnsi="Century" w:cs="Calibri"/>
          <w:sz w:val="24"/>
          <w:szCs w:val="24"/>
          <w:lang w:eastAsia="es-ES"/>
        </w:rPr>
      </w:pPr>
      <w:r w:rsidRPr="00AD1424">
        <w:rPr>
          <w:rFonts w:ascii="Century" w:eastAsia="Calibri" w:hAnsi="Century" w:cs="Times New Roman"/>
          <w:b/>
          <w:sz w:val="24"/>
          <w:szCs w:val="24"/>
          <w:lang w:eastAsia="es-ES"/>
        </w:rPr>
        <w:t xml:space="preserve">SEGUNDO. </w:t>
      </w:r>
      <w:r w:rsidRPr="00AD1424">
        <w:rPr>
          <w:rFonts w:ascii="Century" w:eastAsia="Calibri" w:hAnsi="Century" w:cs="Times New Roman"/>
          <w:sz w:val="24"/>
          <w:szCs w:val="24"/>
          <w:lang w:eastAsia="es-ES"/>
        </w:rPr>
        <w:t>El presente proceso administrativo fue promovido oportunamente, conforme a lo establecido en el artículo 263 del Código de Procedimiento y Justicia Administrativa para el Estado y los Municipios de Guanajuato, toda vez que la demanda fue presentada el día 12 doce de mayo de 2015 dos mil quince, por lo que se encuentra dentro del término de los 30 treinta días hábiles siguientes a aquél en que el demandante se ostenta sabedor de la resolución impugnada, lo que fue el día 31 treinta y uno de mayo del año 2015 dos mil quince, sin que obre documento que acredite lo contrario.-</w:t>
      </w:r>
    </w:p>
    <w:p w:rsidR="00AD1424" w:rsidRPr="00AD1424" w:rsidRDefault="00AD1424" w:rsidP="00AD1424">
      <w:pPr>
        <w:spacing w:after="0" w:line="360" w:lineRule="auto"/>
        <w:ind w:firstLine="708"/>
        <w:jc w:val="both"/>
        <w:rPr>
          <w:rFonts w:ascii="Century" w:eastAsia="Calibri" w:hAnsi="Century" w:cs="Calibri"/>
          <w:b/>
          <w:bCs/>
          <w:sz w:val="24"/>
          <w:szCs w:val="24"/>
          <w:lang w:eastAsia="es-ES"/>
        </w:rPr>
      </w:pPr>
    </w:p>
    <w:p w:rsidR="00AD1424" w:rsidRPr="00AD1424" w:rsidRDefault="00AD1424" w:rsidP="00AD1424">
      <w:pPr>
        <w:spacing w:after="0" w:line="360" w:lineRule="auto"/>
        <w:ind w:firstLine="709"/>
        <w:jc w:val="both"/>
        <w:rPr>
          <w:rFonts w:ascii="Century" w:eastAsia="Calibri" w:hAnsi="Century" w:cs="Times New Roman"/>
          <w:sz w:val="24"/>
          <w:szCs w:val="24"/>
          <w:lang w:val="es-ES" w:eastAsia="es-ES"/>
        </w:rPr>
      </w:pPr>
      <w:r w:rsidRPr="00AD1424">
        <w:rPr>
          <w:rFonts w:ascii="Century" w:eastAsia="Calibri" w:hAnsi="Century" w:cs="Calibri"/>
          <w:b/>
          <w:iCs/>
          <w:sz w:val="24"/>
          <w:szCs w:val="24"/>
          <w:lang w:val="es-ES" w:eastAsia="es-ES"/>
        </w:rPr>
        <w:t xml:space="preserve">TERCERO. </w:t>
      </w:r>
      <w:r w:rsidRPr="00AD1424">
        <w:rPr>
          <w:rFonts w:ascii="Century" w:eastAsia="Calibri" w:hAnsi="Century" w:cs="Times New Roman"/>
          <w:sz w:val="24"/>
          <w:szCs w:val="24"/>
          <w:lang w:val="es-ES" w:eastAsia="es-ES"/>
        </w:rPr>
        <w:t>De lo expuesto por el actor se desprende que impugna el valor fiscal asignado al inmueble de su propiedad y el avalúo que modificó dicho valor, para acreditar la existencia de los actos impugnados, el actor adjunta a su escrito de demanda la impresión del estado de cuenta del impuesto predial, número de cuenta 01 AA97416001 (cero uno Letra A letra A nueve siete cuatro uno seis cero cero uno), del cual también se desprende un adeudo por la cantidad de $137,722.56 (ciento treinta y siete mil setecientos veintidós pesos 56/100 M/N), documento que merece valor probatorio pleno, de conformidad a lo señalado e</w:t>
      </w:r>
      <w:r w:rsidRPr="00AD1424">
        <w:rPr>
          <w:rFonts w:ascii="Century" w:eastAsia="Calibri" w:hAnsi="Century" w:cs="Calibri"/>
          <w:sz w:val="24"/>
          <w:szCs w:val="24"/>
          <w:lang w:val="es-ES" w:eastAsia="es-ES"/>
        </w:rPr>
        <w:t>n los artículos 117 y 131 del Código de Procedimiento y Justicia Administrativa para el Estado y los Municipios de Guanajuato; toda vez que no fue refutado en cuanto a su contenido por las autoridades demandadas. --------------------------------------</w:t>
      </w:r>
      <w:r w:rsidRPr="00AD1424">
        <w:rPr>
          <w:rFonts w:ascii="Century" w:eastAsia="Calibri" w:hAnsi="Century" w:cs="Times New Roman"/>
          <w:sz w:val="24"/>
          <w:szCs w:val="24"/>
          <w:lang w:val="es-ES" w:eastAsia="es-ES"/>
        </w:rPr>
        <w:t>---------------------------------</w:t>
      </w:r>
    </w:p>
    <w:p w:rsidR="00AD1424" w:rsidRPr="00AD1424" w:rsidRDefault="00AD1424" w:rsidP="00AD1424">
      <w:pPr>
        <w:spacing w:after="0" w:line="360" w:lineRule="auto"/>
        <w:ind w:firstLine="709"/>
        <w:jc w:val="both"/>
        <w:rPr>
          <w:rFonts w:ascii="Century" w:eastAsia="Calibri" w:hAnsi="Century" w:cs="Times New Roman"/>
          <w:sz w:val="24"/>
          <w:szCs w:val="24"/>
          <w:lang w:val="es-ES" w:eastAsia="es-ES"/>
        </w:rPr>
      </w:pPr>
    </w:p>
    <w:p w:rsidR="00AD1424" w:rsidRPr="00AD1424" w:rsidRDefault="00AD1424" w:rsidP="00AD1424">
      <w:pPr>
        <w:spacing w:after="0" w:line="360" w:lineRule="auto"/>
        <w:ind w:firstLine="709"/>
        <w:jc w:val="both"/>
        <w:rPr>
          <w:rFonts w:ascii="Century" w:eastAsia="Calibri" w:hAnsi="Century" w:cs="Times New Roman"/>
          <w:sz w:val="24"/>
          <w:szCs w:val="24"/>
          <w:lang w:val="es-ES" w:eastAsia="es-ES"/>
        </w:rPr>
      </w:pPr>
      <w:r w:rsidRPr="00AD1424">
        <w:rPr>
          <w:rFonts w:ascii="Century" w:eastAsia="Calibri" w:hAnsi="Century" w:cs="Times New Roman"/>
          <w:sz w:val="24"/>
          <w:szCs w:val="24"/>
          <w:lang w:val="es-ES" w:eastAsia="es-ES"/>
        </w:rPr>
        <w:t xml:space="preserve">Respecto al avalúo de fecha 29 veintinueve de marzo del año 2011 dos mil once, se desprende que dicha fecha fue obtenida por el actor del referido </w:t>
      </w:r>
      <w:r w:rsidRPr="00AD1424">
        <w:rPr>
          <w:rFonts w:ascii="Century" w:eastAsia="Calibri" w:hAnsi="Century" w:cs="Times New Roman"/>
          <w:sz w:val="24"/>
          <w:szCs w:val="24"/>
          <w:lang w:val="es-ES" w:eastAsia="es-ES"/>
        </w:rPr>
        <w:lastRenderedPageBreak/>
        <w:t xml:space="preserve">estado de cuenta, de manera específica en donde se establece la fecha de movimiento, no obstante lo anterior, las autoridades demandadas adjuntan a su escrito de contestación a la demanda diverso avalúo de fecha 22 veintidós de noviembre del año 2010 dos mil diez, avalúo que corresponde a la cuenta predial del inmueble propiedad del demandante, y que contiene el mismo valor fiscal del plasmado en el estado de cuenta, es decir, la cantidad de $2,568,671.36 (Dos millones quinientos sesenta y ocho mil seiscientos setenta y un pesos 36/100 M/N), por lo que se deduce que el avalúo anexado por las autoridades demandadas, es el mismo que se refleja en el estado de cuenta como fecha movimiento 29/mar/2011 (veintinueve de marzo de dos mil once), lo anterior, considerando que dicho avalúo fue aportado como prueba de su intención por las autoridades demandadas, por lo que merece valor probatorio pleno </w:t>
      </w:r>
      <w:r w:rsidRPr="00AD1424">
        <w:rPr>
          <w:rFonts w:ascii="Century" w:eastAsia="Calibri" w:hAnsi="Century" w:cs="Calibri"/>
          <w:sz w:val="24"/>
          <w:szCs w:val="24"/>
          <w:lang w:val="es-ES" w:eastAsia="es-ES"/>
        </w:rPr>
        <w:t>conforme a lo dispuesto en los artículos 78, 117, 118, 121 y 131 del Código de Procedimiento y Justicia Administrativa para el Estado y los Municipios de Guanajuato; toda vez que se trata de un documento público, expedido por un servidor público, en el ejercicio de sus funciones. ----------------------------------------</w:t>
      </w:r>
    </w:p>
    <w:p w:rsidR="00AD1424" w:rsidRPr="00AD1424" w:rsidRDefault="00AD1424" w:rsidP="00AD1424">
      <w:pPr>
        <w:spacing w:after="0" w:line="360" w:lineRule="auto"/>
        <w:ind w:firstLine="709"/>
        <w:jc w:val="both"/>
        <w:rPr>
          <w:rFonts w:ascii="Century" w:eastAsia="Calibri" w:hAnsi="Century" w:cs="Times New Roman"/>
          <w:sz w:val="24"/>
          <w:szCs w:val="24"/>
          <w:lang w:val="es-ES" w:eastAsia="es-ES"/>
        </w:rPr>
      </w:pPr>
    </w:p>
    <w:p w:rsidR="00AD1424" w:rsidRPr="00AD1424" w:rsidRDefault="00AD1424" w:rsidP="00AD1424">
      <w:pPr>
        <w:spacing w:after="0" w:line="360" w:lineRule="auto"/>
        <w:ind w:firstLine="708"/>
        <w:jc w:val="both"/>
        <w:rPr>
          <w:rFonts w:ascii="Century" w:eastAsia="Calibri" w:hAnsi="Century" w:cs="Times New Roman"/>
          <w:b/>
          <w:bCs/>
          <w:iCs/>
          <w:sz w:val="24"/>
          <w:szCs w:val="24"/>
          <w:lang w:val="es-ES" w:eastAsia="es-ES"/>
        </w:rPr>
      </w:pPr>
      <w:r w:rsidRPr="00AD1424">
        <w:rPr>
          <w:rFonts w:ascii="Century" w:eastAsia="Calibri" w:hAnsi="Century" w:cs="Times New Roman"/>
          <w:sz w:val="24"/>
          <w:szCs w:val="24"/>
          <w:lang w:val="es-ES" w:eastAsia="es-ES"/>
        </w:rPr>
        <w:t xml:space="preserve">En razón de lo anterior, se tiene por </w:t>
      </w:r>
      <w:r w:rsidRPr="00AD1424">
        <w:rPr>
          <w:rFonts w:ascii="Century" w:eastAsia="Calibri" w:hAnsi="Century" w:cs="Times New Roman"/>
          <w:b/>
          <w:sz w:val="24"/>
          <w:szCs w:val="24"/>
          <w:lang w:val="es-ES" w:eastAsia="es-ES"/>
        </w:rPr>
        <w:t>debidamente acreditada</w:t>
      </w:r>
      <w:r w:rsidRPr="00AD1424">
        <w:rPr>
          <w:rFonts w:ascii="Century" w:eastAsia="Calibri" w:hAnsi="Century" w:cs="Times New Roman"/>
          <w:sz w:val="24"/>
          <w:szCs w:val="24"/>
          <w:lang w:val="es-ES" w:eastAsia="es-ES"/>
        </w:rPr>
        <w:t xml:space="preserve"> la existencia de los actos impugnados. ----------------------------------------------------------</w:t>
      </w:r>
    </w:p>
    <w:p w:rsidR="00AD1424" w:rsidRPr="00AD1424" w:rsidRDefault="00AD1424" w:rsidP="00AD1424">
      <w:pPr>
        <w:spacing w:after="0" w:line="360" w:lineRule="auto"/>
        <w:ind w:firstLine="709"/>
        <w:jc w:val="both"/>
        <w:rPr>
          <w:rFonts w:ascii="Century" w:eastAsia="Calibri" w:hAnsi="Century" w:cs="Calibri"/>
          <w:b/>
          <w:sz w:val="24"/>
          <w:szCs w:val="24"/>
          <w:lang w:val="es-ES" w:eastAsia="es-ES"/>
        </w:rPr>
      </w:pPr>
    </w:p>
    <w:p w:rsidR="00AD1424" w:rsidRPr="00AD1424" w:rsidRDefault="00AD1424" w:rsidP="00AD1424">
      <w:pPr>
        <w:spacing w:after="0" w:line="360" w:lineRule="auto"/>
        <w:ind w:firstLine="709"/>
        <w:jc w:val="both"/>
        <w:rPr>
          <w:rFonts w:ascii="Century" w:eastAsia="Calibri" w:hAnsi="Century" w:cs="Calibri"/>
          <w:b/>
          <w:bCs/>
          <w:iCs/>
          <w:sz w:val="24"/>
          <w:szCs w:val="24"/>
          <w:lang w:val="es-ES" w:eastAsia="es-ES"/>
        </w:rPr>
      </w:pPr>
      <w:r w:rsidRPr="00AD1424">
        <w:rPr>
          <w:rFonts w:ascii="Century" w:eastAsia="Calibri" w:hAnsi="Century" w:cs="Calibri"/>
          <w:b/>
          <w:sz w:val="24"/>
          <w:szCs w:val="24"/>
          <w:lang w:val="es-ES" w:eastAsia="es-ES"/>
        </w:rPr>
        <w:t xml:space="preserve">CUARTO. </w:t>
      </w:r>
      <w:r w:rsidRPr="00AD1424">
        <w:rPr>
          <w:rFonts w:ascii="Century" w:eastAsia="Calibri" w:hAnsi="Century" w:cs="Calibri"/>
          <w:bCs/>
          <w:iCs/>
          <w:sz w:val="24"/>
          <w:szCs w:val="24"/>
          <w:lang w:val="es-ES" w:eastAsia="es-ES"/>
        </w:rPr>
        <w:t>Ahora bien, 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D1424">
        <w:rPr>
          <w:rFonts w:ascii="Century" w:eastAsia="Calibri" w:hAnsi="Century" w:cs="Calibri"/>
          <w:sz w:val="24"/>
          <w:szCs w:val="24"/>
          <w:lang w:val="es-ES" w:eastAsia="es-ES"/>
        </w:rPr>
        <w:t>. ----------------</w:t>
      </w:r>
      <w:r w:rsidRPr="00AD1424">
        <w:rPr>
          <w:rFonts w:ascii="Century" w:eastAsia="Calibri" w:hAnsi="Century" w:cs="Calibri"/>
          <w:b/>
          <w:bCs/>
          <w:iCs/>
          <w:sz w:val="24"/>
          <w:szCs w:val="24"/>
          <w:lang w:val="es-ES" w:eastAsia="es-ES"/>
        </w:rPr>
        <w:t>---------------------------------------------------------</w:t>
      </w:r>
    </w:p>
    <w:p w:rsidR="00AD1424" w:rsidRPr="00AD1424" w:rsidRDefault="00AD1424" w:rsidP="00AD1424">
      <w:pPr>
        <w:spacing w:after="0" w:line="360" w:lineRule="auto"/>
        <w:ind w:firstLine="708"/>
        <w:jc w:val="both"/>
        <w:rPr>
          <w:rFonts w:ascii="Century" w:eastAsia="Calibri" w:hAnsi="Century" w:cs="Calibri"/>
          <w:b/>
          <w:bCs/>
          <w:iCs/>
          <w:sz w:val="24"/>
          <w:szCs w:val="24"/>
          <w:lang w:val="es-ES" w:eastAsia="es-ES"/>
        </w:rPr>
      </w:pPr>
    </w:p>
    <w:p w:rsidR="00AD1424" w:rsidRPr="00AD1424" w:rsidRDefault="00AD1424" w:rsidP="00AD1424">
      <w:pPr>
        <w:spacing w:after="0" w:line="360" w:lineRule="auto"/>
        <w:ind w:firstLine="709"/>
        <w:jc w:val="both"/>
        <w:rPr>
          <w:rFonts w:ascii="Century" w:eastAsia="Calibri" w:hAnsi="Century" w:cs="Times New Roman"/>
          <w:sz w:val="24"/>
          <w:szCs w:val="24"/>
          <w:lang w:val="es-ES" w:eastAsia="es-ES"/>
        </w:rPr>
      </w:pPr>
      <w:r w:rsidRPr="00AD1424">
        <w:rPr>
          <w:rFonts w:ascii="Century" w:eastAsia="Calibri" w:hAnsi="Century" w:cs="Times New Roman"/>
          <w:sz w:val="24"/>
          <w:szCs w:val="24"/>
          <w:lang w:val="es-ES" w:eastAsia="es-ES"/>
        </w:rPr>
        <w:t xml:space="preserve">En tal contexto, se aprecia que la autoridad demandada </w:t>
      </w:r>
      <w:r w:rsidRPr="00AD1424">
        <w:rPr>
          <w:rFonts w:ascii="Century" w:eastAsia="Calibri" w:hAnsi="Century" w:cs="Times New Roman"/>
          <w:b/>
          <w:sz w:val="24"/>
          <w:szCs w:val="24"/>
          <w:lang w:val="es-ES" w:eastAsia="es-ES"/>
        </w:rPr>
        <w:t>no planteó</w:t>
      </w:r>
      <w:r w:rsidRPr="00AD1424">
        <w:rPr>
          <w:rFonts w:ascii="Century" w:eastAsia="Calibri" w:hAnsi="Century" w:cs="Times New Roman"/>
          <w:sz w:val="24"/>
          <w:szCs w:val="24"/>
          <w:lang w:val="es-ES" w:eastAsia="es-ES"/>
        </w:rPr>
        <w:t xml:space="preserve"> alguna causal de improcedencia o sobreseimiento; y de oficio, este Juzgado determina que </w:t>
      </w:r>
      <w:r w:rsidRPr="00AD1424">
        <w:rPr>
          <w:rFonts w:ascii="Century" w:eastAsia="Calibri" w:hAnsi="Century" w:cs="Times New Roman"/>
          <w:b/>
          <w:sz w:val="24"/>
          <w:szCs w:val="24"/>
          <w:lang w:val="es-ES" w:eastAsia="es-ES"/>
        </w:rPr>
        <w:t>no se actualiza</w:t>
      </w:r>
      <w:r w:rsidRPr="00AD1424">
        <w:rPr>
          <w:rFonts w:ascii="Century" w:eastAsia="Calibri" w:hAnsi="Century" w:cs="Times New Roman"/>
          <w:sz w:val="24"/>
          <w:szCs w:val="24"/>
          <w:lang w:val="es-ES" w:eastAsia="es-ES"/>
        </w:rPr>
        <w:t xml:space="preserve"> ninguna que impida el estudio de fondo de esta causa administrativa -----------------------------------------------------------------------------</w:t>
      </w:r>
    </w:p>
    <w:p w:rsidR="00AD1424" w:rsidRPr="00AD1424" w:rsidRDefault="00AD1424" w:rsidP="00AD1424">
      <w:pPr>
        <w:spacing w:after="0" w:line="360" w:lineRule="auto"/>
        <w:ind w:firstLine="709"/>
        <w:jc w:val="both"/>
        <w:rPr>
          <w:rFonts w:ascii="Century" w:eastAsia="Calibri" w:hAnsi="Century" w:cs="Times New Roman"/>
          <w:sz w:val="24"/>
          <w:szCs w:val="24"/>
          <w:lang w:val="es-ES" w:eastAsia="es-ES"/>
        </w:rPr>
      </w:pPr>
    </w:p>
    <w:p w:rsidR="00AD1424" w:rsidRPr="00AD1424" w:rsidRDefault="00AD1424" w:rsidP="00AD1424">
      <w:pPr>
        <w:spacing w:after="0" w:line="360" w:lineRule="auto"/>
        <w:ind w:firstLine="709"/>
        <w:jc w:val="both"/>
        <w:rPr>
          <w:rFonts w:ascii="Century" w:eastAsia="Calibri" w:hAnsi="Century" w:cs="Times New Roman"/>
          <w:sz w:val="24"/>
          <w:szCs w:val="24"/>
          <w:lang w:val="es-ES" w:eastAsia="es-ES"/>
        </w:rPr>
      </w:pPr>
      <w:r w:rsidRPr="00AD1424">
        <w:rPr>
          <w:rFonts w:ascii="Century" w:eastAsia="Calibri" w:hAnsi="Century" w:cs="Times New Roman"/>
          <w:sz w:val="24"/>
          <w:szCs w:val="24"/>
          <w:lang w:val="es-ES" w:eastAsia="es-ES"/>
        </w:rPr>
        <w:lastRenderedPageBreak/>
        <w:t>Cabe señalar que la autoridad demandada opone en su escrito de contestación a la demanda excepciones y defensas, por lo que, no obstante que para efectos del juicio contencioso administrativo y, de acuerdo a los señalado por el artículo 280 del Código de Procedimiento y Justicia Administrativa para el Estado y los Municipios de Guanajuato, la autoridad demandada al contestar la demanda, debe referirse a las causas de improcedencia y sobreseimiento, relacionadas con los artículos 261 y 262 del mismo ordenamiento, con la finalidad de no incurrir en violaciones procesales, se realizan las siguientes consideraciones respecto a las excepciones y defensas hechas valer por las autoridades demandadas. ------------------------------------------</w:t>
      </w:r>
    </w:p>
    <w:p w:rsidR="00AD1424" w:rsidRPr="00AD1424" w:rsidRDefault="00AD1424" w:rsidP="00AD1424">
      <w:pPr>
        <w:spacing w:after="0" w:line="360" w:lineRule="auto"/>
        <w:ind w:firstLine="709"/>
        <w:jc w:val="both"/>
        <w:rPr>
          <w:rFonts w:ascii="Century" w:eastAsia="Calibri" w:hAnsi="Century" w:cs="Times New Roman"/>
          <w:sz w:val="24"/>
          <w:szCs w:val="24"/>
          <w:lang w:val="es-ES" w:eastAsia="es-ES"/>
        </w:rPr>
      </w:pPr>
    </w:p>
    <w:p w:rsidR="00AD1424" w:rsidRPr="00AD1424" w:rsidRDefault="00AD1424" w:rsidP="00AD1424">
      <w:pPr>
        <w:spacing w:after="0" w:line="360" w:lineRule="auto"/>
        <w:ind w:firstLine="709"/>
        <w:jc w:val="both"/>
        <w:rPr>
          <w:rFonts w:ascii="Century" w:eastAsia="Calibri" w:hAnsi="Century" w:cs="Times New Roman"/>
          <w:sz w:val="24"/>
          <w:szCs w:val="24"/>
          <w:lang w:val="es-ES" w:eastAsia="es-ES"/>
        </w:rPr>
      </w:pPr>
      <w:r w:rsidRPr="00AD1424">
        <w:rPr>
          <w:rFonts w:ascii="Century" w:eastAsia="Calibri" w:hAnsi="Century" w:cs="Times New Roman"/>
          <w:sz w:val="24"/>
          <w:szCs w:val="24"/>
          <w:lang w:val="es-ES" w:eastAsia="es-ES"/>
        </w:rPr>
        <w:t>En primer término oponen la excepción de falta de acción y carencia de derecho del demandante, con esta excepción la autoridad demandada busca que el actor acredite los hechos de su demanda en forma diversa a la confesión implícita que el demandado hiciera de los mismos mediante la aceptación correspondiente, en tal sentido, traducido al derecho administrativo se pudiera determinar que las autoridades hacen referencia a la carencia o falta de interés jurídico para demandar o inexistencia del acto, en la especie se determina que la parte actora si cuenta con interés jurídico para impugnar el valor fiscal asignado al inmueble de su propiedad, así como el avalúo mediante el cual se modifica dicho valor fiscal, este último ya que a través de él se modifica el valor fiscal de inmueble y respecto al primero, es el que sirve como base para el cálculo del impuesto predial, en cuanto a su existencia la misma quedó acreditada en el Considerando que antecede. --------------------------------------------</w:t>
      </w:r>
    </w:p>
    <w:p w:rsidR="00AD1424" w:rsidRPr="00AD1424" w:rsidRDefault="00AD1424" w:rsidP="00AD1424">
      <w:pPr>
        <w:spacing w:after="0" w:line="360" w:lineRule="auto"/>
        <w:ind w:firstLine="709"/>
        <w:jc w:val="both"/>
        <w:rPr>
          <w:rFonts w:ascii="Century" w:eastAsia="Calibri" w:hAnsi="Century" w:cs="Times New Roman"/>
          <w:sz w:val="24"/>
          <w:szCs w:val="24"/>
          <w:lang w:val="es-ES" w:eastAsia="es-ES"/>
        </w:rPr>
      </w:pPr>
    </w:p>
    <w:p w:rsidR="00AD1424" w:rsidRPr="00AD1424" w:rsidRDefault="00AD1424" w:rsidP="00AD1424">
      <w:pPr>
        <w:spacing w:after="0" w:line="360" w:lineRule="auto"/>
        <w:ind w:firstLine="709"/>
        <w:jc w:val="both"/>
        <w:rPr>
          <w:rFonts w:ascii="Century" w:eastAsia="Calibri" w:hAnsi="Century" w:cs="Times New Roman"/>
          <w:i/>
          <w:sz w:val="24"/>
          <w:szCs w:val="24"/>
          <w:lang w:val="es-ES" w:eastAsia="es-ES"/>
        </w:rPr>
      </w:pPr>
      <w:r w:rsidRPr="00AD1424">
        <w:rPr>
          <w:rFonts w:ascii="Century" w:eastAsia="Calibri" w:hAnsi="Century" w:cs="Times New Roman"/>
          <w:sz w:val="24"/>
          <w:szCs w:val="24"/>
          <w:lang w:val="es-ES" w:eastAsia="es-ES"/>
        </w:rPr>
        <w:t xml:space="preserve">Por otro lado, las autoridades demandadas oponen la excepción de </w:t>
      </w:r>
      <w:r w:rsidRPr="00AD1424">
        <w:rPr>
          <w:rFonts w:ascii="Century" w:eastAsia="Calibri" w:hAnsi="Century" w:cs="Times New Roman"/>
          <w:i/>
          <w:sz w:val="24"/>
          <w:szCs w:val="24"/>
          <w:lang w:val="es-ES" w:eastAsia="es-ES"/>
        </w:rPr>
        <w:t>“derivada de los artículos 136, 137 y 138 del Código de Procedimiento y Justicia Administrativa para el Estado y los Municipios de Guanajuato, toda vez, que el acto que la parte actora pretende impugnar reúne todos y cada uno de los requisitos de los numerales en cita …”</w:t>
      </w:r>
      <w:r w:rsidRPr="00AD1424">
        <w:rPr>
          <w:rFonts w:ascii="Century" w:eastAsia="Calibri" w:hAnsi="Century" w:cs="Times New Roman"/>
          <w:sz w:val="24"/>
          <w:szCs w:val="24"/>
          <w:lang w:val="es-ES" w:eastAsia="es-ES"/>
        </w:rPr>
        <w:t xml:space="preserve">, dichas manifestaciones se traduce en argumentos tendientes a demostrar la validez del acto impugnado, por tal motivo, será materia de estudio al analizar los conceptos de impugnación hechos valer por la parte actora y determinar en su caso, la legalidad o </w:t>
      </w:r>
      <w:r w:rsidRPr="00AD1424">
        <w:rPr>
          <w:rFonts w:ascii="Century" w:eastAsia="Calibri" w:hAnsi="Century" w:cs="Times New Roman"/>
          <w:sz w:val="24"/>
          <w:szCs w:val="24"/>
          <w:lang w:val="es-ES" w:eastAsia="es-ES"/>
        </w:rPr>
        <w:lastRenderedPageBreak/>
        <w:t>ilegalidad del acto combatido, atento a que son argumentaciones íntimamente relacionadas con el fondo del negocio. -------------------------------------------------------</w:t>
      </w:r>
    </w:p>
    <w:p w:rsidR="00AD1424" w:rsidRPr="00AD1424" w:rsidRDefault="00AD1424" w:rsidP="00AD1424">
      <w:pPr>
        <w:spacing w:after="0" w:line="360" w:lineRule="auto"/>
        <w:ind w:firstLine="709"/>
        <w:jc w:val="both"/>
        <w:rPr>
          <w:rFonts w:ascii="Century" w:eastAsia="Calibri" w:hAnsi="Century" w:cs="Times New Roman"/>
          <w:sz w:val="24"/>
          <w:szCs w:val="24"/>
          <w:lang w:val="es-ES" w:eastAsia="es-ES"/>
        </w:rPr>
      </w:pPr>
    </w:p>
    <w:p w:rsidR="00AD1424" w:rsidRPr="00AD1424" w:rsidRDefault="00AD1424" w:rsidP="00AD1424">
      <w:pPr>
        <w:spacing w:after="0" w:line="360" w:lineRule="auto"/>
        <w:ind w:firstLine="709"/>
        <w:jc w:val="both"/>
        <w:rPr>
          <w:rFonts w:ascii="Century" w:eastAsia="Calibri" w:hAnsi="Century" w:cs="Times New Roman"/>
          <w:sz w:val="24"/>
          <w:szCs w:val="24"/>
          <w:lang w:val="es-ES" w:eastAsia="es-ES"/>
        </w:rPr>
      </w:pPr>
      <w:r w:rsidRPr="00AD1424">
        <w:rPr>
          <w:rFonts w:ascii="Century" w:eastAsia="Calibri" w:hAnsi="Century" w:cs="Times New Roman"/>
          <w:sz w:val="24"/>
          <w:szCs w:val="24"/>
          <w:lang w:val="es-ES" w:eastAsia="es-ES"/>
        </w:rPr>
        <w:t>De igual manera, oponen la excepción Nom Mutati Libeli, para el efecto de que una vez desahogada la etapa de contestación a la demanda, las posibles modificaciones o ampliaciones que haga la parte actora no sean consideradas ni tengan efectos jurídicos en el presente juicio; sobre el particular, es importante precisar que el juicio contencioso administrativo, se desarrolla conforme a lo dispuesto en el Libro Primero y Tercero del ya citado Código de Procedimiento y Justicia Administrativa para el Estado y los Municipios de Guanajuato, por lo que las actuaciones fueron desarrolladas conforme a las formalidades procesales consignadas en dicho ordenamiento. ----------------------</w:t>
      </w:r>
    </w:p>
    <w:p w:rsidR="00AD1424" w:rsidRPr="00AD1424" w:rsidRDefault="00AD1424" w:rsidP="00AD1424">
      <w:pPr>
        <w:spacing w:after="0" w:line="360" w:lineRule="auto"/>
        <w:ind w:firstLine="709"/>
        <w:jc w:val="both"/>
        <w:rPr>
          <w:rFonts w:ascii="Century" w:eastAsia="Calibri" w:hAnsi="Century" w:cs="Times New Roman"/>
          <w:sz w:val="24"/>
          <w:szCs w:val="24"/>
          <w:lang w:val="es-ES" w:eastAsia="es-ES"/>
        </w:rPr>
      </w:pPr>
    </w:p>
    <w:p w:rsidR="00AD1424" w:rsidRPr="00AD1424" w:rsidRDefault="00AD1424" w:rsidP="00AD1424">
      <w:pPr>
        <w:spacing w:after="0" w:line="360" w:lineRule="auto"/>
        <w:ind w:firstLine="709"/>
        <w:jc w:val="both"/>
        <w:rPr>
          <w:rFonts w:ascii="Century" w:eastAsia="Calibri" w:hAnsi="Century" w:cs="Times New Roman"/>
          <w:sz w:val="24"/>
          <w:szCs w:val="24"/>
          <w:lang w:val="es-ES" w:eastAsia="es-ES"/>
        </w:rPr>
      </w:pPr>
      <w:r w:rsidRPr="00AD1424">
        <w:rPr>
          <w:rFonts w:ascii="Century" w:eastAsia="Calibri" w:hAnsi="Century" w:cs="Times New Roman"/>
          <w:sz w:val="24"/>
          <w:szCs w:val="24"/>
          <w:lang w:val="es-ES" w:eastAsia="es-ES"/>
        </w:rPr>
        <w:t>Ante la improcedencia de las referidas causales y excepciones manifestadas por la autoridad demandada, esta autoridad en forma oficiosa no advierte que se actualiza alguna causal de improcedencia de las previstas en el citado artículo 261 del código de la materia, se procede al estudio de los conceptos de impugnación. ----------------------------------------------------------------------</w:t>
      </w:r>
    </w:p>
    <w:p w:rsidR="00AD1424" w:rsidRPr="00AD1424" w:rsidRDefault="00AD1424" w:rsidP="00AD1424">
      <w:pPr>
        <w:spacing w:after="0" w:line="360" w:lineRule="auto"/>
        <w:ind w:firstLine="708"/>
        <w:jc w:val="both"/>
        <w:rPr>
          <w:rFonts w:ascii="Century" w:eastAsia="Calibri" w:hAnsi="Century" w:cs="Times New Roman"/>
          <w:sz w:val="24"/>
          <w:szCs w:val="24"/>
          <w:lang w:val="es-ES" w:eastAsia="es-ES"/>
        </w:rPr>
      </w:pPr>
    </w:p>
    <w:p w:rsidR="00AD1424" w:rsidRPr="00AD1424" w:rsidRDefault="00AD1424" w:rsidP="00AD1424">
      <w:pPr>
        <w:spacing w:after="0" w:line="360" w:lineRule="auto"/>
        <w:ind w:firstLine="708"/>
        <w:jc w:val="both"/>
        <w:rPr>
          <w:rFonts w:ascii="Century" w:eastAsia="Calibri" w:hAnsi="Century" w:cs="Calibri"/>
          <w:sz w:val="24"/>
          <w:szCs w:val="24"/>
          <w:lang w:val="es-ES" w:eastAsia="es-ES"/>
        </w:rPr>
      </w:pPr>
      <w:r w:rsidRPr="00AD1424">
        <w:rPr>
          <w:rFonts w:ascii="Century" w:eastAsia="Calibri" w:hAnsi="Century" w:cs="Calibri"/>
          <w:b/>
          <w:bCs/>
          <w:iCs/>
          <w:sz w:val="24"/>
          <w:szCs w:val="24"/>
          <w:lang w:val="es-ES" w:eastAsia="es-ES"/>
        </w:rPr>
        <w:t>QUINTO.</w:t>
      </w:r>
      <w:r w:rsidRPr="00AD1424">
        <w:rPr>
          <w:rFonts w:ascii="Century" w:eastAsia="Calibri" w:hAnsi="Century" w:cs="Times New Roman"/>
          <w:sz w:val="24"/>
          <w:szCs w:val="24"/>
          <w:lang w:val="es-ES" w:eastAsia="es-ES"/>
        </w:rPr>
        <w:t xml:space="preserve"> </w:t>
      </w:r>
      <w:r w:rsidRPr="00AD1424">
        <w:rPr>
          <w:rFonts w:ascii="Century" w:eastAsia="Calibri" w:hAnsi="Century" w:cs="Calibri"/>
          <w:bCs/>
          <w:iCs/>
          <w:sz w:val="24"/>
          <w:szCs w:val="24"/>
          <w:lang w:val="es-ES" w:eastAsia="es-ES"/>
        </w:rPr>
        <w:t>En</w:t>
      </w:r>
      <w:r w:rsidRPr="00AD1424">
        <w:rPr>
          <w:rFonts w:ascii="Century" w:eastAsia="Calibri" w:hAnsi="Century" w:cs="Calibri"/>
          <w:sz w:val="24"/>
          <w:szCs w:val="24"/>
          <w:lang w:val="es-ES" w:eastAsia="es-ES"/>
        </w:rPr>
        <w:t xml:space="preserve"> cumplimiento a lo establecido en la fracción I del artículo 299 del Código de Procedimiento y Justicia Administrativa para el Estado y los Municipios de Guanajuato, </w:t>
      </w:r>
      <w:r w:rsidRPr="00AD1424">
        <w:rPr>
          <w:rFonts w:ascii="Century" w:eastAsia="Calibri" w:hAnsi="Century" w:cs="Calibri"/>
          <w:bCs/>
          <w:iCs/>
          <w:sz w:val="24"/>
          <w:szCs w:val="24"/>
          <w:lang w:val="es-ES" w:eastAsia="es-ES"/>
        </w:rPr>
        <w:t xml:space="preserve">este Juzgado </w:t>
      </w:r>
      <w:r w:rsidRPr="00AD1424">
        <w:rPr>
          <w:rFonts w:ascii="Century" w:eastAsia="Calibri" w:hAnsi="Century" w:cs="Calibri"/>
          <w:sz w:val="24"/>
          <w:szCs w:val="24"/>
          <w:lang w:val="es-ES" w:eastAsia="es-ES"/>
        </w:rPr>
        <w:t xml:space="preserve">procede a fijar clara y precisamente los puntos controvertidos en el presente proceso administrativo. </w:t>
      </w:r>
    </w:p>
    <w:p w:rsidR="00AD1424" w:rsidRPr="00AD1424" w:rsidRDefault="00AD1424" w:rsidP="00AD1424">
      <w:pPr>
        <w:spacing w:after="0" w:line="360" w:lineRule="auto"/>
        <w:ind w:firstLine="708"/>
        <w:jc w:val="both"/>
        <w:rPr>
          <w:rFonts w:ascii="Century" w:eastAsia="Calibri" w:hAnsi="Century" w:cs="Calibri"/>
          <w:sz w:val="24"/>
          <w:szCs w:val="24"/>
          <w:lang w:val="es-ES" w:eastAsia="es-ES"/>
        </w:rPr>
      </w:pPr>
    </w:p>
    <w:p w:rsidR="00AD1424" w:rsidRPr="00AD1424" w:rsidRDefault="00AD1424" w:rsidP="00AD1424">
      <w:pPr>
        <w:spacing w:after="0" w:line="360" w:lineRule="auto"/>
        <w:ind w:firstLine="709"/>
        <w:jc w:val="both"/>
        <w:rPr>
          <w:rFonts w:ascii="Century" w:eastAsia="Calibri" w:hAnsi="Century" w:cs="Times New Roman"/>
          <w:sz w:val="24"/>
          <w:szCs w:val="24"/>
          <w:lang w:val="es-ES" w:eastAsia="es-ES"/>
        </w:rPr>
      </w:pPr>
      <w:r w:rsidRPr="00AD1424">
        <w:rPr>
          <w:rFonts w:ascii="Century" w:eastAsia="Calibri" w:hAnsi="Century" w:cs="Times New Roman"/>
          <w:sz w:val="24"/>
          <w:szCs w:val="24"/>
          <w:lang w:val="es-ES" w:eastAsia="es-ES"/>
        </w:rPr>
        <w:t xml:space="preserve">De lo expuesto por el actor en su </w:t>
      </w:r>
      <w:r w:rsidRPr="00AD1424">
        <w:rPr>
          <w:rFonts w:ascii="Century" w:eastAsia="Calibri" w:hAnsi="Century" w:cs="Times New Roman"/>
          <w:bCs/>
          <w:iCs/>
          <w:sz w:val="24"/>
          <w:szCs w:val="24"/>
          <w:lang w:val="es-ES" w:eastAsia="es-ES"/>
        </w:rPr>
        <w:t>escrito</w:t>
      </w:r>
      <w:r w:rsidRPr="00AD1424">
        <w:rPr>
          <w:rFonts w:ascii="Century" w:eastAsia="Calibri" w:hAnsi="Century" w:cs="Times New Roman"/>
          <w:sz w:val="24"/>
          <w:szCs w:val="24"/>
          <w:lang w:val="es-ES" w:eastAsia="es-ES"/>
        </w:rPr>
        <w:t xml:space="preserve"> de demanda, así como de las constancias que integran la causa administrativa</w:t>
      </w:r>
      <w:r w:rsidRPr="00AD1424">
        <w:rPr>
          <w:rFonts w:ascii="Century" w:eastAsia="Calibri" w:hAnsi="Century" w:cs="Times New Roman"/>
          <w:bCs/>
          <w:iCs/>
          <w:sz w:val="24"/>
          <w:szCs w:val="24"/>
          <w:lang w:val="es-ES" w:eastAsia="es-ES"/>
        </w:rPr>
        <w:t xml:space="preserve"> que nos ocupa</w:t>
      </w:r>
      <w:r w:rsidRPr="00AD1424">
        <w:rPr>
          <w:rFonts w:ascii="Century" w:eastAsia="Calibri" w:hAnsi="Century" w:cs="Times New Roman"/>
          <w:sz w:val="24"/>
          <w:szCs w:val="24"/>
          <w:lang w:val="es-ES" w:eastAsia="es-ES"/>
        </w:rPr>
        <w:t xml:space="preserve">, se desprende que en fecha 22 veintidós de noviembre del año 2010 dos mil diez, fue realizado un avalúo al inmueble propiedad de la parte actora con cuenta predial 01AA97416001 (cero uno Letra A letra A nueve siete cuatro uno seis cero cero uno), mediante dicho avalúo se asigna como valor fiscal del inmueble la cantidad de $2,568,671.36 (Dos millones quinientos sesenta y ocho mil seiscientos setenta y un pesos 36/100 M/N), dicho acto el actor lo considera ilegal en virtud de que no le notificaron los resultados de dicho avalúo, así como la orden de avalúo y que los peritos autorizados de la Tesorería Municipal o de </w:t>
      </w:r>
      <w:r w:rsidRPr="00AD1424">
        <w:rPr>
          <w:rFonts w:ascii="Century" w:eastAsia="Calibri" w:hAnsi="Century" w:cs="Times New Roman"/>
          <w:sz w:val="24"/>
          <w:szCs w:val="24"/>
          <w:lang w:val="es-ES" w:eastAsia="es-ES"/>
        </w:rPr>
        <w:lastRenderedPageBreak/>
        <w:t>la Dirección General de Ingresos hayan practicado el referido avalúo, por lo que acude a impugnar dicho acto. ------------------------------------------------------------</w:t>
      </w:r>
    </w:p>
    <w:p w:rsidR="00AD1424" w:rsidRPr="00AD1424" w:rsidRDefault="00AD1424" w:rsidP="00AD1424">
      <w:pPr>
        <w:spacing w:after="0" w:line="360" w:lineRule="auto"/>
        <w:ind w:firstLine="709"/>
        <w:jc w:val="both"/>
        <w:rPr>
          <w:rFonts w:ascii="Century" w:eastAsia="Calibri" w:hAnsi="Century" w:cs="Times New Roman"/>
          <w:sz w:val="24"/>
          <w:szCs w:val="24"/>
          <w:lang w:val="es-ES" w:eastAsia="es-ES"/>
        </w:rPr>
      </w:pPr>
    </w:p>
    <w:p w:rsidR="00AD1424" w:rsidRPr="00AD1424" w:rsidRDefault="00AD1424" w:rsidP="00AD1424">
      <w:pPr>
        <w:spacing w:after="0" w:line="360" w:lineRule="auto"/>
        <w:ind w:firstLine="709"/>
        <w:jc w:val="both"/>
        <w:rPr>
          <w:rFonts w:ascii="Century" w:eastAsia="Calibri" w:hAnsi="Century" w:cs="Times New Roman"/>
          <w:sz w:val="24"/>
          <w:szCs w:val="24"/>
          <w:lang w:val="es-ES" w:eastAsia="es-ES"/>
        </w:rPr>
      </w:pPr>
      <w:r w:rsidRPr="00AD1424">
        <w:rPr>
          <w:rFonts w:ascii="Century" w:eastAsia="Calibri" w:hAnsi="Century" w:cs="Times New Roman"/>
          <w:sz w:val="24"/>
          <w:szCs w:val="24"/>
          <w:lang w:val="es-ES" w:eastAsia="es-ES"/>
        </w:rPr>
        <w:t>Así las cosas, la “litis” planteada se hace consistir en determinar la legalidad o ilegalidad del avalúo de fecha 22 veintidós de noviembre del año 2010 dos mil diez, con número de folio 44857 (cuatro cuatro ocho cinco siete) y como pretensión el actor solicita la nulidad total de los actos impugnados, y se ordene a la autoridad demandada se aplique el valor fiscal al inmueble con el que se venía tributando con anterioridad, es decir, por la cantidad de $386,947.00 (trescientos ochenta y seis mil novecientos cuarenta y siete pesos 00/100 M/N). ----------------------------------------------------------------------------------------</w:t>
      </w:r>
    </w:p>
    <w:p w:rsidR="00AD1424" w:rsidRPr="00AD1424" w:rsidRDefault="00AD1424" w:rsidP="00AD1424">
      <w:pPr>
        <w:spacing w:after="0" w:line="360" w:lineRule="auto"/>
        <w:ind w:firstLine="709"/>
        <w:jc w:val="both"/>
        <w:rPr>
          <w:rFonts w:ascii="Century" w:eastAsia="Calibri" w:hAnsi="Century" w:cs="Times New Roman"/>
          <w:sz w:val="24"/>
          <w:szCs w:val="24"/>
          <w:lang w:val="es-ES" w:eastAsia="es-ES"/>
        </w:rPr>
      </w:pPr>
    </w:p>
    <w:p w:rsidR="00AD1424" w:rsidRPr="00AD1424" w:rsidRDefault="00AD1424" w:rsidP="00AD1424">
      <w:pPr>
        <w:spacing w:after="0" w:line="360" w:lineRule="auto"/>
        <w:ind w:firstLine="709"/>
        <w:jc w:val="both"/>
        <w:rPr>
          <w:rFonts w:ascii="Century" w:eastAsia="Calibri" w:hAnsi="Century" w:cs="Calibri"/>
          <w:sz w:val="24"/>
          <w:szCs w:val="24"/>
          <w:lang w:val="es-ES" w:eastAsia="es-ES"/>
        </w:rPr>
      </w:pPr>
      <w:r w:rsidRPr="00AD1424">
        <w:rPr>
          <w:rFonts w:ascii="Century" w:eastAsia="Calibri" w:hAnsi="Century" w:cs="Calibri"/>
          <w:b/>
          <w:sz w:val="24"/>
          <w:szCs w:val="24"/>
          <w:lang w:val="es-ES" w:eastAsia="es-ES"/>
        </w:rPr>
        <w:t>SÉXTO.</w:t>
      </w:r>
      <w:r w:rsidRPr="00AD1424">
        <w:rPr>
          <w:rFonts w:ascii="Century" w:eastAsia="Calibri" w:hAnsi="Century" w:cs="Calibri"/>
          <w:sz w:val="24"/>
          <w:szCs w:val="24"/>
          <w:lang w:val="es-ES" w:eastAsia="es-ES"/>
        </w:rPr>
        <w:t xml:space="preserve"> Una vez señalada la litis de la presente causa, se procede al análisis de los conceptos de impugnación.--------------------------------------------------</w:t>
      </w:r>
    </w:p>
    <w:p w:rsidR="00AD1424" w:rsidRPr="00AD1424" w:rsidRDefault="00AD1424" w:rsidP="00AD1424">
      <w:pPr>
        <w:spacing w:after="0" w:line="360" w:lineRule="auto"/>
        <w:ind w:firstLine="708"/>
        <w:jc w:val="both"/>
        <w:rPr>
          <w:rFonts w:ascii="Century" w:eastAsia="Calibri" w:hAnsi="Century" w:cs="Times New Roman"/>
          <w:sz w:val="24"/>
          <w:szCs w:val="24"/>
          <w:lang w:val="es-ES" w:eastAsia="es-ES"/>
        </w:rPr>
      </w:pPr>
    </w:p>
    <w:p w:rsidR="00AD1424" w:rsidRPr="00AD1424" w:rsidRDefault="00AD1424" w:rsidP="00AD1424">
      <w:pPr>
        <w:spacing w:after="0" w:line="360" w:lineRule="auto"/>
        <w:ind w:firstLine="709"/>
        <w:jc w:val="both"/>
        <w:rPr>
          <w:rFonts w:ascii="Calibri" w:eastAsia="Calibri" w:hAnsi="Calibri" w:cs="Times New Roman"/>
          <w:color w:val="7F7F7F"/>
          <w:sz w:val="26"/>
          <w:szCs w:val="26"/>
          <w:lang w:val="es-ES" w:eastAsia="es-ES"/>
        </w:rPr>
      </w:pPr>
      <w:r w:rsidRPr="00AD1424">
        <w:rPr>
          <w:rFonts w:ascii="Century" w:eastAsia="Calibri" w:hAnsi="Century" w:cs="Times New Roman"/>
          <w:sz w:val="24"/>
          <w:szCs w:val="24"/>
          <w:lang w:val="es-ES" w:eastAsia="es-ES"/>
        </w:rPr>
        <w:t>Este Juzgador de manera primordial procederá al análisis de los conceptos de impugnación aplicando el principio de mayor consecuencia anulatoria de la resolución impugnada y que pudieran traer mayor beneficio a la parte actora en concordancia con los principios de congruencia y exhaustividad que deben regir en toda sentencia con lo que se respeta la garantía de acceso efectivo a la justicia y, en particular, el principio de completitud que ésta encierra; sin necesidad de transcribirlos en su totalidad, lo anterior, con base en el criterio sostenido por el Segundo Tribunal Colegiado del Sexto Circuito del Poder Judicial de la Federación, mencionado en la siguiente Jurisprudencia. ----------------------------------------------------------------------</w:t>
      </w:r>
    </w:p>
    <w:p w:rsidR="00AD1424" w:rsidRPr="00AD1424" w:rsidRDefault="00AD1424" w:rsidP="00AD1424">
      <w:pPr>
        <w:spacing w:after="0" w:line="360" w:lineRule="auto"/>
        <w:ind w:firstLine="708"/>
        <w:jc w:val="both"/>
        <w:rPr>
          <w:rFonts w:ascii="Century" w:eastAsia="Calibri" w:hAnsi="Century" w:cs="Times New Roman"/>
          <w:sz w:val="24"/>
          <w:szCs w:val="24"/>
          <w:lang w:eastAsia="es-ES"/>
        </w:rPr>
      </w:pPr>
    </w:p>
    <w:p w:rsidR="00AD1424" w:rsidRPr="00AD1424" w:rsidRDefault="00AD1424" w:rsidP="00AD1424">
      <w:pPr>
        <w:spacing w:after="0" w:line="360" w:lineRule="auto"/>
        <w:ind w:firstLine="708"/>
        <w:jc w:val="both"/>
        <w:rPr>
          <w:rFonts w:ascii="Century" w:eastAsia="Calibri" w:hAnsi="Century" w:cs="Times New Roman"/>
          <w:sz w:val="24"/>
          <w:szCs w:val="24"/>
          <w:lang w:eastAsia="es-ES"/>
        </w:rPr>
      </w:pPr>
    </w:p>
    <w:p w:rsidR="00AD1424" w:rsidRPr="00AD1424" w:rsidRDefault="00AD1424" w:rsidP="00AD1424">
      <w:pPr>
        <w:spacing w:after="0" w:line="240" w:lineRule="auto"/>
        <w:ind w:firstLine="709"/>
        <w:jc w:val="both"/>
        <w:rPr>
          <w:rFonts w:ascii="Century" w:eastAsia="Calibri" w:hAnsi="Century" w:cs="Calibri"/>
          <w:bCs/>
          <w:i/>
          <w:iCs/>
          <w:sz w:val="24"/>
          <w:szCs w:val="24"/>
          <w:lang w:val="es-ES" w:eastAsia="es-ES"/>
        </w:rPr>
      </w:pPr>
      <w:r w:rsidRPr="00AD1424">
        <w:rPr>
          <w:rFonts w:ascii="Century" w:eastAsia="Calibri" w:hAnsi="Century" w:cs="Times New Roman"/>
          <w:b/>
          <w:bCs/>
          <w:i/>
          <w:iCs/>
          <w:sz w:val="24"/>
          <w:szCs w:val="24"/>
          <w:lang w:val="es-ES" w:eastAsia="es-ES"/>
        </w:rPr>
        <w:t xml:space="preserve">“CONCEPTOS DE VIOLACIÓN. EL JUEZ NO ESTÁ OBLIGADO A TRANSCRIBIRLOS. </w:t>
      </w:r>
      <w:r w:rsidRPr="00AD1424">
        <w:rPr>
          <w:rFonts w:ascii="Century" w:eastAsia="Calibri" w:hAnsi="Century" w:cs="Times New Roman"/>
          <w:bCs/>
          <w:i/>
          <w:iCs/>
          <w:sz w:val="24"/>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D1424">
        <w:rPr>
          <w:rFonts w:ascii="Century" w:eastAsia="Calibri" w:hAnsi="Century" w:cs="Calibri"/>
          <w:bCs/>
          <w:i/>
          <w:iCs/>
          <w:sz w:val="24"/>
          <w:szCs w:val="24"/>
          <w:lang w:val="es-ES" w:eastAsia="es-ES"/>
        </w:rPr>
        <w:t xml:space="preserve">SEGUNDO TRIBUNAL COLEGIADO DEL SEXTO CIRCUITO. No. Registro: 196,477. Jurisprudencia, Materia(s): Común, Novena Época, </w:t>
      </w:r>
      <w:r w:rsidRPr="00AD1424">
        <w:rPr>
          <w:rFonts w:ascii="Century" w:eastAsia="Calibri" w:hAnsi="Century" w:cs="Calibri"/>
          <w:bCs/>
          <w:i/>
          <w:iCs/>
          <w:sz w:val="24"/>
          <w:szCs w:val="24"/>
          <w:lang w:val="es-ES" w:eastAsia="es-ES"/>
        </w:rPr>
        <w:lastRenderedPageBreak/>
        <w:t xml:space="preserve">Instancia: Tribunales Colegiados de Circuito, Fuente: Semanario Judicial de la Federación y su Gaceta. VII, Abril de 1998, Tesis: VI.2o. J/129. Página: 599”. </w:t>
      </w:r>
    </w:p>
    <w:p w:rsidR="00AD1424" w:rsidRPr="00AD1424" w:rsidRDefault="00AD1424" w:rsidP="00AD1424">
      <w:pPr>
        <w:spacing w:after="0" w:line="240" w:lineRule="auto"/>
        <w:ind w:firstLine="709"/>
        <w:jc w:val="both"/>
        <w:rPr>
          <w:rFonts w:ascii="Century" w:eastAsia="Calibri" w:hAnsi="Century" w:cs="Calibri"/>
          <w:bCs/>
          <w:i/>
          <w:iCs/>
          <w:sz w:val="24"/>
          <w:szCs w:val="24"/>
          <w:lang w:val="es-ES" w:eastAsia="es-ES"/>
        </w:rPr>
      </w:pPr>
    </w:p>
    <w:p w:rsidR="00AD1424" w:rsidRPr="00AD1424" w:rsidRDefault="00AD1424" w:rsidP="00AD1424">
      <w:pPr>
        <w:spacing w:after="0" w:line="240" w:lineRule="auto"/>
        <w:ind w:firstLine="709"/>
        <w:jc w:val="both"/>
        <w:rPr>
          <w:rFonts w:ascii="Century" w:eastAsia="Calibri" w:hAnsi="Century" w:cs="Calibri"/>
          <w:bCs/>
          <w:i/>
          <w:iCs/>
          <w:sz w:val="24"/>
          <w:szCs w:val="24"/>
          <w:lang w:val="es-ES" w:eastAsia="es-ES"/>
        </w:rPr>
      </w:pPr>
    </w:p>
    <w:p w:rsidR="00AD1424" w:rsidRPr="00AD1424" w:rsidRDefault="00AD1424" w:rsidP="00AD1424">
      <w:pPr>
        <w:tabs>
          <w:tab w:val="left" w:pos="3975"/>
        </w:tabs>
        <w:spacing w:after="0" w:line="360" w:lineRule="auto"/>
        <w:ind w:firstLine="709"/>
        <w:jc w:val="both"/>
        <w:rPr>
          <w:rFonts w:ascii="Century" w:eastAsia="Calibri" w:hAnsi="Century" w:cs="Calibri"/>
          <w:sz w:val="24"/>
          <w:szCs w:val="24"/>
          <w:lang w:val="es-ES" w:eastAsia="es-ES"/>
        </w:rPr>
      </w:pPr>
      <w:r w:rsidRPr="00AD1424">
        <w:rPr>
          <w:rFonts w:ascii="Century" w:eastAsia="Calibri" w:hAnsi="Century" w:cs="Calibri"/>
          <w:sz w:val="24"/>
          <w:szCs w:val="24"/>
          <w:lang w:val="es-ES" w:eastAsia="es-ES"/>
        </w:rPr>
        <w:t xml:space="preserve">Por tanto, quien juzga procede al análisis en conjunto de los conceptos de impugnación, específicamente de los señalados como UNO, DOS y TRES, ya que van enderezados a controvertir el procedimiento mediante el cual la autoridad demandada llevó a cabo el avalúo, modificándose con ello el valor fiscal al inmueble propiedad de la parte actora, conceptos que resultan </w:t>
      </w:r>
      <w:r w:rsidRPr="00AD1424">
        <w:rPr>
          <w:rFonts w:ascii="Century" w:eastAsia="Calibri" w:hAnsi="Century" w:cs="Calibri"/>
          <w:b/>
          <w:sz w:val="24"/>
          <w:szCs w:val="24"/>
          <w:lang w:val="es-ES" w:eastAsia="es-ES"/>
        </w:rPr>
        <w:t>FUNDADOS</w:t>
      </w:r>
      <w:r w:rsidRPr="00AD1424">
        <w:rPr>
          <w:rFonts w:ascii="Century" w:eastAsia="Calibri" w:hAnsi="Century" w:cs="Calibri"/>
          <w:sz w:val="24"/>
          <w:szCs w:val="24"/>
          <w:lang w:val="es-ES" w:eastAsia="es-ES"/>
        </w:rPr>
        <w:t xml:space="preserve"> y suficientes para decretar la nulidad total del avalúo de fecha 22 veintidós de noviembre del año 2010 dos mil diez</w:t>
      </w:r>
      <w:r w:rsidRPr="00AD1424">
        <w:rPr>
          <w:rFonts w:ascii="Century" w:eastAsia="Calibri" w:hAnsi="Century" w:cs="Times New Roman"/>
          <w:sz w:val="24"/>
          <w:szCs w:val="24"/>
          <w:lang w:val="es-ES" w:eastAsia="es-ES"/>
        </w:rPr>
        <w:t>,</w:t>
      </w:r>
      <w:r w:rsidRPr="00AD1424">
        <w:rPr>
          <w:rFonts w:ascii="Century" w:eastAsia="Calibri" w:hAnsi="Century" w:cs="Calibri"/>
          <w:sz w:val="24"/>
          <w:szCs w:val="24"/>
          <w:lang w:val="es-ES" w:eastAsia="es-ES"/>
        </w:rPr>
        <w:t xml:space="preserve"> en atención a los siguientes razonamientos: ----------------------------------------------------------------------- </w:t>
      </w:r>
    </w:p>
    <w:p w:rsidR="00AD1424" w:rsidRPr="00AD1424" w:rsidRDefault="00AD1424" w:rsidP="00AD1424">
      <w:pPr>
        <w:tabs>
          <w:tab w:val="left" w:pos="3975"/>
        </w:tabs>
        <w:spacing w:after="0" w:line="360" w:lineRule="auto"/>
        <w:ind w:firstLine="709"/>
        <w:jc w:val="both"/>
        <w:rPr>
          <w:rFonts w:ascii="Century" w:eastAsia="Calibri" w:hAnsi="Century" w:cs="Calibri"/>
          <w:sz w:val="24"/>
          <w:szCs w:val="24"/>
          <w:lang w:val="es-ES" w:eastAsia="es-ES"/>
        </w:rPr>
      </w:pPr>
    </w:p>
    <w:p w:rsidR="00AD1424" w:rsidRPr="00AD1424" w:rsidRDefault="00AD1424" w:rsidP="00AD1424">
      <w:pPr>
        <w:tabs>
          <w:tab w:val="left" w:pos="3975"/>
        </w:tabs>
        <w:spacing w:after="0" w:line="360" w:lineRule="auto"/>
        <w:ind w:firstLine="709"/>
        <w:jc w:val="both"/>
        <w:rPr>
          <w:rFonts w:ascii="Century" w:eastAsia="Calibri" w:hAnsi="Century" w:cs="Times New Roman"/>
          <w:sz w:val="24"/>
          <w:szCs w:val="24"/>
          <w:lang w:val="es-ES" w:eastAsia="es-ES"/>
        </w:rPr>
      </w:pPr>
      <w:r w:rsidRPr="00AD1424">
        <w:rPr>
          <w:rFonts w:ascii="Century" w:eastAsia="Calibri" w:hAnsi="Century" w:cs="Calibri"/>
          <w:sz w:val="24"/>
          <w:szCs w:val="24"/>
          <w:lang w:val="es-ES" w:eastAsia="es-ES"/>
        </w:rPr>
        <w:t xml:space="preserve">La </w:t>
      </w:r>
      <w:r w:rsidRPr="00AD1424">
        <w:rPr>
          <w:rFonts w:ascii="Century" w:eastAsia="Calibri" w:hAnsi="Century" w:cs="Times New Roman"/>
          <w:sz w:val="24"/>
          <w:szCs w:val="24"/>
          <w:lang w:val="es-ES" w:eastAsia="es-ES"/>
        </w:rPr>
        <w:t xml:space="preserve">parte actora </w:t>
      </w:r>
      <w:r w:rsidRPr="00AD1424">
        <w:rPr>
          <w:rFonts w:ascii="Century" w:eastAsia="Calibri" w:hAnsi="Century" w:cs="Arial Narrow"/>
          <w:sz w:val="24"/>
          <w:szCs w:val="24"/>
          <w:lang w:val="es-ES" w:eastAsia="es-ES"/>
        </w:rPr>
        <w:t xml:space="preserve">en </w:t>
      </w:r>
      <w:r w:rsidRPr="00AD1424">
        <w:rPr>
          <w:rFonts w:ascii="Century" w:eastAsia="Calibri" w:hAnsi="Century" w:cs="Times New Roman"/>
          <w:sz w:val="24"/>
          <w:szCs w:val="24"/>
          <w:lang w:val="es-ES" w:eastAsia="es-ES"/>
        </w:rPr>
        <w:t>el PRIMERO de sus conceptos de impugnación niega lisa y llanamente que la Tesorería Municipal o la Dirección General de Ingresos, adscrita a la primera de las mencionadas, hayan notificado la orden de valuación por escrito; así mismo, niega lisa y llanamente que hayan sido notificados legalmente los resultados del avalúo. ----------------------------------------</w:t>
      </w:r>
    </w:p>
    <w:p w:rsidR="00AD1424" w:rsidRPr="00AD1424" w:rsidRDefault="00AD1424" w:rsidP="00AD1424">
      <w:pPr>
        <w:tabs>
          <w:tab w:val="left" w:pos="3975"/>
        </w:tabs>
        <w:spacing w:after="0" w:line="360" w:lineRule="auto"/>
        <w:ind w:firstLine="709"/>
        <w:jc w:val="both"/>
        <w:rPr>
          <w:rFonts w:ascii="Century" w:eastAsia="Calibri" w:hAnsi="Century" w:cs="Times New Roman"/>
          <w:sz w:val="24"/>
          <w:szCs w:val="24"/>
          <w:lang w:val="es-ES" w:eastAsia="es-ES"/>
        </w:rPr>
      </w:pPr>
    </w:p>
    <w:p w:rsidR="00AD1424" w:rsidRPr="00AD1424" w:rsidRDefault="00AD1424" w:rsidP="00AD1424">
      <w:pPr>
        <w:tabs>
          <w:tab w:val="left" w:pos="3975"/>
        </w:tabs>
        <w:spacing w:after="0" w:line="360" w:lineRule="auto"/>
        <w:ind w:firstLine="709"/>
        <w:jc w:val="both"/>
        <w:rPr>
          <w:rFonts w:ascii="Century" w:eastAsia="Calibri" w:hAnsi="Century" w:cs="Times New Roman"/>
          <w:sz w:val="24"/>
          <w:szCs w:val="24"/>
          <w:lang w:val="es-ES" w:eastAsia="es-ES"/>
        </w:rPr>
      </w:pPr>
      <w:r w:rsidRPr="00AD1424">
        <w:rPr>
          <w:rFonts w:ascii="Century" w:eastAsia="Calibri" w:hAnsi="Century" w:cs="Times New Roman"/>
          <w:sz w:val="24"/>
          <w:szCs w:val="24"/>
          <w:lang w:val="es-ES" w:eastAsia="es-ES"/>
        </w:rPr>
        <w:t xml:space="preserve">En el mismo sentido, en el SEGUNDO de los conceptos de impugnación niega lisa y llanamente que peritos autorizados por la Tesorería Municipal o por la Dirección General de Ingresos hayan practicado el avalúo; y en el TERCERO de sus agravios niega lisa y llanamente que se hayan actualizado los supuestos previstos en el artículo 162 de la Ley de Hacienda para los Municipios del Estado de Guanajuato, ya que argumenta que nunca ha manifestado un valor diverso al inmueble, ni tampoco ha presentado algún avalúo u otro documento que motive la modificación del valor fiscal del mismo. </w:t>
      </w:r>
    </w:p>
    <w:p w:rsidR="00AD1424" w:rsidRPr="00AD1424" w:rsidRDefault="00AD1424" w:rsidP="00AD1424">
      <w:pPr>
        <w:tabs>
          <w:tab w:val="left" w:pos="3975"/>
        </w:tabs>
        <w:spacing w:after="0" w:line="360" w:lineRule="auto"/>
        <w:ind w:firstLine="709"/>
        <w:jc w:val="both"/>
        <w:rPr>
          <w:rFonts w:ascii="Century" w:eastAsia="Calibri" w:hAnsi="Century" w:cs="Times New Roman"/>
          <w:sz w:val="24"/>
          <w:szCs w:val="24"/>
          <w:lang w:val="es-ES" w:eastAsia="es-ES"/>
        </w:rPr>
      </w:pPr>
    </w:p>
    <w:p w:rsidR="00AD1424" w:rsidRPr="00AD1424" w:rsidRDefault="00AD1424" w:rsidP="00AD1424">
      <w:pPr>
        <w:spacing w:after="0" w:line="360" w:lineRule="auto"/>
        <w:ind w:firstLine="709"/>
        <w:jc w:val="both"/>
        <w:rPr>
          <w:rFonts w:ascii="Century" w:eastAsia="Calibri" w:hAnsi="Century" w:cs="Times New Roman"/>
          <w:sz w:val="24"/>
          <w:szCs w:val="24"/>
          <w:lang w:val="es-ES" w:eastAsia="es-ES"/>
        </w:rPr>
      </w:pPr>
      <w:r w:rsidRPr="00AD1424">
        <w:rPr>
          <w:rFonts w:ascii="Century" w:eastAsia="Calibri" w:hAnsi="Century" w:cs="Times New Roman"/>
          <w:sz w:val="24"/>
          <w:szCs w:val="24"/>
          <w:lang w:val="es-ES" w:eastAsia="es-ES"/>
        </w:rPr>
        <w:t>Por su parte las autoridades demandadas, no hacen referencia alguna a los conceptos de impugnación hechos valer por el actor, ya que de manera similar señalan textualmente lo siguiente: ------------------------------------------------</w:t>
      </w:r>
    </w:p>
    <w:p w:rsidR="00AD1424" w:rsidRPr="00AD1424" w:rsidRDefault="00AD1424" w:rsidP="00AD1424">
      <w:pPr>
        <w:spacing w:after="0" w:line="360" w:lineRule="auto"/>
        <w:ind w:firstLine="709"/>
        <w:jc w:val="both"/>
        <w:rPr>
          <w:rFonts w:ascii="Century" w:eastAsia="Calibri" w:hAnsi="Century" w:cs="Times New Roman"/>
          <w:sz w:val="24"/>
          <w:szCs w:val="24"/>
          <w:lang w:val="es-ES" w:eastAsia="es-ES"/>
        </w:rPr>
      </w:pPr>
    </w:p>
    <w:p w:rsidR="00AD1424" w:rsidRPr="00AD1424" w:rsidRDefault="00AD1424" w:rsidP="00AD1424">
      <w:pPr>
        <w:spacing w:after="0" w:line="360" w:lineRule="auto"/>
        <w:ind w:firstLine="709"/>
        <w:jc w:val="both"/>
        <w:rPr>
          <w:rFonts w:ascii="Century" w:eastAsia="Calibri" w:hAnsi="Century" w:cs="Times New Roman"/>
          <w:i/>
          <w:sz w:val="24"/>
          <w:szCs w:val="24"/>
          <w:lang w:val="es-ES" w:eastAsia="es-ES"/>
        </w:rPr>
      </w:pPr>
      <w:r w:rsidRPr="00AD1424">
        <w:rPr>
          <w:rFonts w:ascii="Century" w:eastAsia="Calibri" w:hAnsi="Century" w:cs="Times New Roman"/>
          <w:i/>
          <w:sz w:val="24"/>
          <w:szCs w:val="24"/>
          <w:lang w:val="es-ES" w:eastAsia="es-ES"/>
        </w:rPr>
        <w:t xml:space="preserve">[…] Pues en el documento determinante de crédito se precisa clara y completa cual es la resolución administrativa o acto por el cual fue impuesta al recurrente la multa cuyo cobro pretende realizarse, ya que a través de dicho </w:t>
      </w:r>
      <w:r w:rsidRPr="00AD1424">
        <w:rPr>
          <w:rFonts w:ascii="Century" w:eastAsia="Calibri" w:hAnsi="Century" w:cs="Times New Roman"/>
          <w:i/>
          <w:sz w:val="24"/>
          <w:szCs w:val="24"/>
          <w:lang w:val="es-ES" w:eastAsia="es-ES"/>
        </w:rPr>
        <w:lastRenderedPageBreak/>
        <w:t>se dio a conocer al recurrente cuales fueron los motivos por los cuales se está procediendo a una diligencia de requerimiento de pago […]</w:t>
      </w:r>
    </w:p>
    <w:p w:rsidR="00AD1424" w:rsidRPr="00AD1424" w:rsidRDefault="00AD1424" w:rsidP="00AD1424">
      <w:pPr>
        <w:spacing w:after="0" w:line="360" w:lineRule="auto"/>
        <w:ind w:firstLine="709"/>
        <w:jc w:val="both"/>
        <w:rPr>
          <w:rFonts w:ascii="Century" w:eastAsia="Calibri" w:hAnsi="Century" w:cs="Times New Roman"/>
          <w:i/>
          <w:sz w:val="24"/>
          <w:szCs w:val="24"/>
          <w:lang w:val="es-ES" w:eastAsia="es-ES"/>
        </w:rPr>
      </w:pPr>
      <w:r w:rsidRPr="00AD1424">
        <w:rPr>
          <w:rFonts w:ascii="Century" w:eastAsia="Calibri" w:hAnsi="Century" w:cs="Times New Roman"/>
          <w:i/>
          <w:sz w:val="24"/>
          <w:szCs w:val="24"/>
          <w:lang w:val="es-ES" w:eastAsia="es-ES"/>
        </w:rPr>
        <w:t>Además de que la documental que se anexa al escrito inicial de demanda y que señalo como prueba de mi intención para todo lo que a mi interés legal favorezca, la presente sustenta que la competencia del que suscribe esta debidamente fundamentada […] (sic)</w:t>
      </w:r>
    </w:p>
    <w:p w:rsidR="00AD1424" w:rsidRPr="00AD1424" w:rsidRDefault="00AD1424" w:rsidP="00AD1424">
      <w:pPr>
        <w:spacing w:after="0" w:line="360" w:lineRule="auto"/>
        <w:ind w:firstLine="709"/>
        <w:jc w:val="both"/>
        <w:rPr>
          <w:rFonts w:ascii="Century" w:eastAsia="Calibri" w:hAnsi="Century" w:cs="Times New Roman"/>
          <w:sz w:val="24"/>
          <w:szCs w:val="24"/>
          <w:lang w:val="es-ES" w:eastAsia="es-ES"/>
        </w:rPr>
      </w:pPr>
    </w:p>
    <w:p w:rsidR="00AD1424" w:rsidRPr="00AD1424" w:rsidRDefault="00AD1424" w:rsidP="00AD1424">
      <w:pPr>
        <w:tabs>
          <w:tab w:val="left" w:pos="3975"/>
        </w:tabs>
        <w:spacing w:after="0" w:line="360" w:lineRule="auto"/>
        <w:ind w:firstLine="709"/>
        <w:jc w:val="both"/>
        <w:rPr>
          <w:rFonts w:ascii="Century" w:eastAsia="Calibri" w:hAnsi="Century" w:cs="Times New Roman"/>
          <w:sz w:val="24"/>
          <w:szCs w:val="24"/>
          <w:lang w:val="es-ES" w:eastAsia="es-ES"/>
        </w:rPr>
      </w:pPr>
      <w:r w:rsidRPr="00AD1424">
        <w:rPr>
          <w:rFonts w:ascii="Century" w:eastAsia="Calibri" w:hAnsi="Century" w:cs="Times New Roman"/>
          <w:sz w:val="24"/>
          <w:szCs w:val="24"/>
          <w:lang w:val="es-ES" w:eastAsia="es-ES"/>
        </w:rPr>
        <w:t xml:space="preserve">Así las cosas, una vez analizado lo expuesto por ambas partes, así como los documentos que obran en el sumario, se arriba a la conclusión que dichos conceptos de impugnación son FUNDADOS y suficientes para decretar la nulidad del avalúo de fecha 22 veintidós de noviembre del año 2010 dos mil diez, realizado al inmueble propiedad del actor con cuenta predial </w:t>
      </w:r>
      <w:r w:rsidRPr="00AD1424">
        <w:rPr>
          <w:rFonts w:ascii="Times New Roman" w:eastAsia="Calibri" w:hAnsi="Times New Roman" w:cs="Times New Roman"/>
          <w:sz w:val="24"/>
          <w:szCs w:val="24"/>
          <w:lang w:val="es-ES" w:eastAsia="es-ES"/>
        </w:rPr>
        <w:t xml:space="preserve">01AA97416001 </w:t>
      </w:r>
      <w:r w:rsidRPr="00AD1424">
        <w:rPr>
          <w:rFonts w:ascii="Century" w:eastAsia="Calibri" w:hAnsi="Century" w:cs="Times New Roman"/>
          <w:sz w:val="24"/>
          <w:szCs w:val="24"/>
          <w:lang w:val="es-ES" w:eastAsia="es-ES"/>
        </w:rPr>
        <w:t>(cero uno Letra A letra A nueve siete cuatro uno seis cero cero uno).----------------------------------------------------------------------------------------------------</w:t>
      </w:r>
    </w:p>
    <w:p w:rsidR="00AD1424" w:rsidRPr="00AD1424" w:rsidRDefault="00AD1424" w:rsidP="00AD1424">
      <w:pPr>
        <w:tabs>
          <w:tab w:val="left" w:pos="3975"/>
        </w:tabs>
        <w:spacing w:after="0" w:line="360" w:lineRule="auto"/>
        <w:ind w:firstLine="709"/>
        <w:jc w:val="both"/>
        <w:rPr>
          <w:rFonts w:ascii="Century" w:eastAsia="Calibri" w:hAnsi="Century" w:cs="Times New Roman"/>
          <w:sz w:val="24"/>
          <w:szCs w:val="24"/>
          <w:lang w:val="es-ES" w:eastAsia="es-ES"/>
        </w:rPr>
      </w:pPr>
    </w:p>
    <w:p w:rsidR="00AD1424" w:rsidRPr="00AD1424" w:rsidRDefault="00AD1424" w:rsidP="00AD1424">
      <w:pPr>
        <w:tabs>
          <w:tab w:val="left" w:pos="3975"/>
        </w:tabs>
        <w:spacing w:after="0" w:line="360" w:lineRule="auto"/>
        <w:ind w:firstLine="709"/>
        <w:jc w:val="both"/>
        <w:rPr>
          <w:rFonts w:ascii="Century" w:eastAsia="Calibri" w:hAnsi="Century" w:cs="Calibri"/>
          <w:sz w:val="24"/>
          <w:szCs w:val="24"/>
          <w:lang w:val="es-ES" w:eastAsia="es-ES"/>
        </w:rPr>
      </w:pPr>
      <w:r w:rsidRPr="00AD1424">
        <w:rPr>
          <w:rFonts w:ascii="Century" w:eastAsia="Calibri" w:hAnsi="Century" w:cs="Calibri"/>
          <w:sz w:val="24"/>
          <w:szCs w:val="24"/>
          <w:lang w:val="es-ES" w:eastAsia="es-ES"/>
        </w:rPr>
        <w:t>Sobre el particular, resulta oportuno hacer referencia lo dispuesto por la Ley de Hacienda para los Municipios del Estado de Guanajuato, respecto al procedimiento para llevar a cabo la modificación del valor fiscal de inmuebles por parte de la Tesorería Municipal: ---------------------------------------------------------</w:t>
      </w:r>
    </w:p>
    <w:p w:rsidR="00AD1424" w:rsidRPr="00AD1424" w:rsidRDefault="00AD1424" w:rsidP="00AD1424">
      <w:pPr>
        <w:tabs>
          <w:tab w:val="left" w:pos="3975"/>
        </w:tabs>
        <w:spacing w:after="0" w:line="360" w:lineRule="auto"/>
        <w:ind w:firstLine="709"/>
        <w:jc w:val="both"/>
        <w:rPr>
          <w:rFonts w:ascii="Century" w:eastAsia="Calibri" w:hAnsi="Century" w:cs="Calibri"/>
          <w:sz w:val="24"/>
          <w:szCs w:val="24"/>
          <w:lang w:val="es-ES" w:eastAsia="es-ES"/>
        </w:rPr>
      </w:pPr>
    </w:p>
    <w:p w:rsidR="00AD1424" w:rsidRPr="00AD1424" w:rsidRDefault="00AD1424" w:rsidP="00AD1424">
      <w:pPr>
        <w:spacing w:after="0" w:line="240" w:lineRule="auto"/>
        <w:ind w:firstLine="709"/>
        <w:jc w:val="both"/>
        <w:rPr>
          <w:rFonts w:ascii="Century" w:eastAsia="Calibri" w:hAnsi="Century" w:cs="Times New Roman"/>
          <w:bCs/>
          <w:i/>
          <w:iCs/>
          <w:sz w:val="24"/>
          <w:szCs w:val="24"/>
          <w:lang w:val="es-ES" w:eastAsia="es-ES"/>
        </w:rPr>
      </w:pPr>
      <w:r w:rsidRPr="00AD1424">
        <w:rPr>
          <w:rFonts w:ascii="Century" w:eastAsia="Calibri" w:hAnsi="Century" w:cs="Times New Roman"/>
          <w:b/>
          <w:bCs/>
          <w:i/>
          <w:iCs/>
          <w:sz w:val="24"/>
          <w:szCs w:val="24"/>
          <w:lang w:val="es-ES" w:eastAsia="es-ES"/>
        </w:rPr>
        <w:t>ARTÍCULO</w:t>
      </w:r>
      <w:r w:rsidRPr="00AD1424">
        <w:rPr>
          <w:rFonts w:ascii="Century" w:eastAsia="Calibri" w:hAnsi="Century" w:cs="Times New Roman"/>
          <w:bCs/>
          <w:i/>
          <w:iCs/>
          <w:sz w:val="24"/>
          <w:szCs w:val="24"/>
          <w:lang w:val="es-ES" w:eastAsia="es-ES"/>
        </w:rPr>
        <w:t xml:space="preserve"> </w:t>
      </w:r>
      <w:r w:rsidRPr="00AD1424">
        <w:rPr>
          <w:rFonts w:ascii="Century" w:eastAsia="Calibri" w:hAnsi="Century" w:cs="Times New Roman"/>
          <w:b/>
          <w:bCs/>
          <w:i/>
          <w:iCs/>
          <w:sz w:val="24"/>
          <w:szCs w:val="24"/>
          <w:lang w:val="es-ES" w:eastAsia="es-ES"/>
        </w:rPr>
        <w:t>162.</w:t>
      </w:r>
      <w:r w:rsidRPr="00AD1424">
        <w:rPr>
          <w:rFonts w:ascii="Century" w:eastAsia="Calibri" w:hAnsi="Century" w:cs="Times New Roman"/>
          <w:bCs/>
          <w:i/>
          <w:iCs/>
          <w:sz w:val="24"/>
          <w:szCs w:val="24"/>
          <w:lang w:val="es-ES" w:eastAsia="es-ES"/>
        </w:rPr>
        <w:t xml:space="preserve"> La base del Impuesto Predial será el valor fiscal de los inmuebles, el cual se determinará:</w:t>
      </w:r>
    </w:p>
    <w:p w:rsidR="00AD1424" w:rsidRPr="00AD1424" w:rsidRDefault="00AD1424" w:rsidP="00AD1424">
      <w:pPr>
        <w:spacing w:after="0" w:line="240" w:lineRule="auto"/>
        <w:ind w:firstLine="709"/>
        <w:jc w:val="both"/>
        <w:rPr>
          <w:rFonts w:ascii="Century" w:eastAsia="Calibri" w:hAnsi="Century" w:cs="Times New Roman"/>
          <w:bCs/>
          <w:i/>
          <w:iCs/>
          <w:sz w:val="24"/>
          <w:szCs w:val="24"/>
          <w:lang w:val="es-ES" w:eastAsia="es-ES"/>
        </w:rPr>
      </w:pPr>
    </w:p>
    <w:p w:rsidR="00AD1424" w:rsidRPr="00AD1424" w:rsidRDefault="00AD1424" w:rsidP="00AD1424">
      <w:pPr>
        <w:spacing w:after="0" w:line="240" w:lineRule="auto"/>
        <w:ind w:firstLine="709"/>
        <w:jc w:val="both"/>
        <w:rPr>
          <w:rFonts w:ascii="Century" w:eastAsia="Calibri" w:hAnsi="Century" w:cs="Times New Roman"/>
          <w:bCs/>
          <w:i/>
          <w:iCs/>
          <w:sz w:val="24"/>
          <w:szCs w:val="24"/>
          <w:lang w:val="es-ES" w:eastAsia="es-ES"/>
        </w:rPr>
      </w:pPr>
      <w:r w:rsidRPr="00AD1424">
        <w:rPr>
          <w:rFonts w:ascii="Century" w:eastAsia="Calibri" w:hAnsi="Century" w:cs="Times New Roman"/>
          <w:bCs/>
          <w:i/>
          <w:iCs/>
          <w:sz w:val="24"/>
          <w:szCs w:val="24"/>
          <w:lang w:val="es-ES" w:eastAsia="es-ES"/>
        </w:rPr>
        <w:t>I. Mediante el valor manifestado por los contribuyentes de sus inmuebles, aplicando los valores unitarios de suelo y construcciones que anualmente señale la Ley de Ingresos para los Municipios del Estado;</w:t>
      </w:r>
    </w:p>
    <w:p w:rsidR="00AD1424" w:rsidRPr="00AD1424" w:rsidRDefault="00AD1424" w:rsidP="00AD1424">
      <w:pPr>
        <w:spacing w:after="0" w:line="240" w:lineRule="auto"/>
        <w:ind w:firstLine="709"/>
        <w:jc w:val="both"/>
        <w:rPr>
          <w:rFonts w:ascii="Century" w:eastAsia="Calibri" w:hAnsi="Century" w:cs="Times New Roman"/>
          <w:bCs/>
          <w:i/>
          <w:iCs/>
          <w:sz w:val="24"/>
          <w:szCs w:val="24"/>
          <w:lang w:val="es-ES" w:eastAsia="es-ES"/>
        </w:rPr>
      </w:pPr>
    </w:p>
    <w:p w:rsidR="00AD1424" w:rsidRPr="00AD1424" w:rsidRDefault="00AD1424" w:rsidP="00AD1424">
      <w:pPr>
        <w:spacing w:after="0" w:line="240" w:lineRule="auto"/>
        <w:ind w:firstLine="709"/>
        <w:jc w:val="both"/>
        <w:rPr>
          <w:rFonts w:ascii="Century" w:eastAsia="Calibri" w:hAnsi="Century" w:cs="Times New Roman"/>
          <w:bCs/>
          <w:i/>
          <w:iCs/>
          <w:sz w:val="24"/>
          <w:szCs w:val="24"/>
          <w:lang w:val="es-ES" w:eastAsia="es-ES"/>
        </w:rPr>
      </w:pPr>
      <w:r w:rsidRPr="00AD1424">
        <w:rPr>
          <w:rFonts w:ascii="Century" w:eastAsia="Calibri" w:hAnsi="Century" w:cs="Times New Roman"/>
          <w:bCs/>
          <w:i/>
          <w:iCs/>
          <w:sz w:val="24"/>
          <w:szCs w:val="24"/>
          <w:lang w:val="es-ES" w:eastAsia="es-ES"/>
        </w:rPr>
        <w:t>II. Por avalúo practicado por peritos autorizados por la Tesorería Municipal; en tanto son valuados, el valor con que se encuentren registrados;</w:t>
      </w:r>
    </w:p>
    <w:p w:rsidR="00AD1424" w:rsidRPr="00AD1424" w:rsidRDefault="00AD1424" w:rsidP="00AD1424">
      <w:pPr>
        <w:spacing w:after="0" w:line="240" w:lineRule="auto"/>
        <w:ind w:firstLine="709"/>
        <w:jc w:val="both"/>
        <w:rPr>
          <w:rFonts w:ascii="Century" w:eastAsia="Calibri" w:hAnsi="Century" w:cs="Times New Roman"/>
          <w:bCs/>
          <w:i/>
          <w:iCs/>
          <w:sz w:val="24"/>
          <w:szCs w:val="24"/>
          <w:lang w:val="es-ES" w:eastAsia="es-ES"/>
        </w:rPr>
      </w:pPr>
    </w:p>
    <w:p w:rsidR="00AD1424" w:rsidRPr="00AD1424" w:rsidRDefault="00AD1424" w:rsidP="00AD1424">
      <w:pPr>
        <w:spacing w:after="0" w:line="240" w:lineRule="auto"/>
        <w:ind w:firstLine="709"/>
        <w:jc w:val="both"/>
        <w:rPr>
          <w:rFonts w:ascii="Century" w:eastAsia="Calibri" w:hAnsi="Century" w:cs="Times New Roman"/>
          <w:bCs/>
          <w:i/>
          <w:iCs/>
          <w:sz w:val="24"/>
          <w:szCs w:val="24"/>
          <w:lang w:val="es-ES" w:eastAsia="es-ES"/>
        </w:rPr>
      </w:pPr>
      <w:r w:rsidRPr="00AD1424">
        <w:rPr>
          <w:rFonts w:ascii="Century" w:eastAsia="Calibri" w:hAnsi="Century" w:cs="Times New Roman"/>
          <w:bCs/>
          <w:i/>
          <w:iCs/>
          <w:sz w:val="24"/>
          <w:szCs w:val="24"/>
          <w:lang w:val="es-ES" w:eastAsia="es-ES"/>
        </w:rPr>
        <w:t>III. (Fracción derogada. P.O. 25 de diciembre de 1990)</w:t>
      </w:r>
    </w:p>
    <w:p w:rsidR="00AD1424" w:rsidRPr="00AD1424" w:rsidRDefault="00AD1424" w:rsidP="00AD1424">
      <w:pPr>
        <w:spacing w:after="0" w:line="240" w:lineRule="auto"/>
        <w:ind w:firstLine="709"/>
        <w:jc w:val="both"/>
        <w:rPr>
          <w:rFonts w:ascii="Century" w:eastAsia="Calibri" w:hAnsi="Century" w:cs="Times New Roman"/>
          <w:bCs/>
          <w:i/>
          <w:iCs/>
          <w:sz w:val="24"/>
          <w:szCs w:val="24"/>
          <w:lang w:val="es-ES" w:eastAsia="es-ES"/>
        </w:rPr>
      </w:pPr>
    </w:p>
    <w:p w:rsidR="00AD1424" w:rsidRPr="00AD1424" w:rsidRDefault="00AD1424" w:rsidP="00AD1424">
      <w:pPr>
        <w:spacing w:after="0" w:line="240" w:lineRule="auto"/>
        <w:ind w:firstLine="709"/>
        <w:jc w:val="both"/>
        <w:rPr>
          <w:rFonts w:ascii="Century" w:eastAsia="Calibri" w:hAnsi="Century" w:cs="Times New Roman"/>
          <w:bCs/>
          <w:i/>
          <w:iCs/>
          <w:sz w:val="24"/>
          <w:szCs w:val="24"/>
          <w:lang w:val="es-ES" w:eastAsia="es-ES"/>
        </w:rPr>
      </w:pPr>
      <w:r w:rsidRPr="00AD1424">
        <w:rPr>
          <w:rFonts w:ascii="Century" w:eastAsia="Calibri" w:hAnsi="Century" w:cs="Times New Roman"/>
          <w:bCs/>
          <w:i/>
          <w:iCs/>
          <w:sz w:val="24"/>
          <w:szCs w:val="24"/>
          <w:lang w:val="es-ES" w:eastAsia="es-ES"/>
        </w:rPr>
        <w:t>IV. Por avalúo realizado por peritos autorizados por la Tesorería Municipal, usando medios o técnicas fotogramétricas.</w:t>
      </w:r>
    </w:p>
    <w:p w:rsidR="00AD1424" w:rsidRPr="00AD1424" w:rsidRDefault="00AD1424" w:rsidP="00AD1424">
      <w:pPr>
        <w:spacing w:after="0" w:line="240" w:lineRule="auto"/>
        <w:ind w:firstLine="709"/>
        <w:jc w:val="both"/>
        <w:rPr>
          <w:rFonts w:ascii="Century" w:eastAsia="Calibri" w:hAnsi="Century" w:cs="Times New Roman"/>
          <w:bCs/>
          <w:i/>
          <w:iCs/>
          <w:sz w:val="24"/>
          <w:szCs w:val="24"/>
          <w:lang w:val="es-ES" w:eastAsia="es-ES"/>
        </w:rPr>
      </w:pPr>
      <w:r w:rsidRPr="00AD1424">
        <w:rPr>
          <w:rFonts w:ascii="Century" w:eastAsia="Calibri" w:hAnsi="Century" w:cs="Times New Roman"/>
          <w:bCs/>
          <w:i/>
          <w:iCs/>
          <w:sz w:val="24"/>
          <w:szCs w:val="24"/>
          <w:lang w:val="es-ES" w:eastAsia="es-ES"/>
        </w:rPr>
        <w:t>(Fracción adicionada. P.O. 26 de diciembre de 1997)</w:t>
      </w:r>
    </w:p>
    <w:p w:rsidR="00AD1424" w:rsidRPr="00AD1424" w:rsidRDefault="00AD1424" w:rsidP="00AD1424">
      <w:pPr>
        <w:tabs>
          <w:tab w:val="left" w:pos="3975"/>
        </w:tabs>
        <w:spacing w:after="0" w:line="360" w:lineRule="auto"/>
        <w:ind w:firstLine="709"/>
        <w:jc w:val="both"/>
        <w:rPr>
          <w:rFonts w:ascii="Century" w:eastAsia="Calibri" w:hAnsi="Century" w:cs="Calibri"/>
          <w:sz w:val="24"/>
          <w:szCs w:val="24"/>
          <w:lang w:val="es-ES" w:eastAsia="es-ES"/>
        </w:rPr>
      </w:pPr>
    </w:p>
    <w:p w:rsidR="00AD1424" w:rsidRPr="00AD1424" w:rsidRDefault="00AD1424" w:rsidP="00AD1424">
      <w:pPr>
        <w:spacing w:after="0" w:line="240" w:lineRule="auto"/>
        <w:ind w:firstLine="709"/>
        <w:jc w:val="both"/>
        <w:rPr>
          <w:rFonts w:ascii="Century" w:eastAsia="Calibri" w:hAnsi="Century" w:cs="Times New Roman"/>
          <w:bCs/>
          <w:i/>
          <w:iCs/>
          <w:sz w:val="24"/>
          <w:szCs w:val="24"/>
          <w:lang w:val="es-ES" w:eastAsia="es-ES"/>
        </w:rPr>
      </w:pPr>
      <w:r w:rsidRPr="00AD1424">
        <w:rPr>
          <w:rFonts w:ascii="Century" w:eastAsia="Calibri" w:hAnsi="Century" w:cs="Times New Roman"/>
          <w:b/>
          <w:bCs/>
          <w:i/>
          <w:iCs/>
          <w:sz w:val="24"/>
          <w:szCs w:val="24"/>
          <w:lang w:val="es-ES" w:eastAsia="es-ES"/>
        </w:rPr>
        <w:t>ARTÍCULO</w:t>
      </w:r>
      <w:r w:rsidRPr="00AD1424">
        <w:rPr>
          <w:rFonts w:ascii="Century" w:eastAsia="Calibri" w:hAnsi="Century" w:cs="Times New Roman"/>
          <w:bCs/>
          <w:i/>
          <w:iCs/>
          <w:sz w:val="24"/>
          <w:szCs w:val="24"/>
          <w:lang w:val="es-ES" w:eastAsia="es-ES"/>
        </w:rPr>
        <w:t xml:space="preserve"> </w:t>
      </w:r>
      <w:r w:rsidRPr="00AD1424">
        <w:rPr>
          <w:rFonts w:ascii="Century" w:eastAsia="Calibri" w:hAnsi="Century" w:cs="Times New Roman"/>
          <w:b/>
          <w:bCs/>
          <w:i/>
          <w:iCs/>
          <w:sz w:val="24"/>
          <w:szCs w:val="24"/>
          <w:lang w:val="es-ES" w:eastAsia="es-ES"/>
        </w:rPr>
        <w:t>168.</w:t>
      </w:r>
      <w:r w:rsidRPr="00AD1424">
        <w:rPr>
          <w:rFonts w:ascii="Century" w:eastAsia="Calibri" w:hAnsi="Century" w:cs="Times New Roman"/>
          <w:bCs/>
          <w:i/>
          <w:iCs/>
          <w:sz w:val="24"/>
          <w:szCs w:val="24"/>
          <w:lang w:val="es-ES" w:eastAsia="es-ES"/>
        </w:rPr>
        <w:t xml:space="preserve"> El valor fiscal de los inmuebles, sólo podrá ser modificado, por la manifestación del valor de los inmuebles de los contribuyentes; cuando se produzca un cambio en cuanto al nombre del contribuyente, a las características del inmueble; o por otra circunstancia que </w:t>
      </w:r>
      <w:r w:rsidRPr="00AD1424">
        <w:rPr>
          <w:rFonts w:ascii="Century" w:eastAsia="Calibri" w:hAnsi="Century" w:cs="Times New Roman"/>
          <w:bCs/>
          <w:i/>
          <w:iCs/>
          <w:sz w:val="24"/>
          <w:szCs w:val="24"/>
          <w:lang w:val="es-ES" w:eastAsia="es-ES"/>
        </w:rPr>
        <w:lastRenderedPageBreak/>
        <w:t>origine una alteración de su valor con motivo de la ejecución de obras públicas, así como en la reconstrucción o rehabilitación de dichas obras.</w:t>
      </w:r>
    </w:p>
    <w:p w:rsidR="00AD1424" w:rsidRPr="00AD1424" w:rsidRDefault="00AD1424" w:rsidP="00AD1424">
      <w:pPr>
        <w:spacing w:after="0" w:line="240" w:lineRule="auto"/>
        <w:ind w:firstLine="709"/>
        <w:jc w:val="both"/>
        <w:rPr>
          <w:rFonts w:ascii="Century" w:eastAsia="Calibri" w:hAnsi="Century" w:cs="Times New Roman"/>
          <w:bCs/>
          <w:i/>
          <w:iCs/>
          <w:sz w:val="24"/>
          <w:szCs w:val="24"/>
          <w:lang w:val="es-ES" w:eastAsia="es-ES"/>
        </w:rPr>
      </w:pPr>
      <w:r w:rsidRPr="00AD1424">
        <w:rPr>
          <w:rFonts w:ascii="Century" w:eastAsia="Calibri" w:hAnsi="Century" w:cs="Times New Roman"/>
          <w:bCs/>
          <w:i/>
          <w:iCs/>
          <w:sz w:val="24"/>
          <w:szCs w:val="24"/>
          <w:lang w:val="es-ES" w:eastAsia="es-ES"/>
        </w:rPr>
        <w:t>(Párrafo reformado. P.O. 25 de diciembre de 1990)</w:t>
      </w:r>
    </w:p>
    <w:p w:rsidR="00AD1424" w:rsidRPr="00AD1424" w:rsidRDefault="00AD1424" w:rsidP="00AD1424">
      <w:pPr>
        <w:spacing w:after="0" w:line="240" w:lineRule="auto"/>
        <w:ind w:firstLine="709"/>
        <w:jc w:val="both"/>
        <w:rPr>
          <w:rFonts w:ascii="Century" w:eastAsia="Calibri" w:hAnsi="Century" w:cs="Times New Roman"/>
          <w:bCs/>
          <w:i/>
          <w:iCs/>
          <w:sz w:val="24"/>
          <w:szCs w:val="24"/>
          <w:lang w:val="es-ES" w:eastAsia="es-ES"/>
        </w:rPr>
      </w:pPr>
    </w:p>
    <w:p w:rsidR="00AD1424" w:rsidRPr="00AD1424" w:rsidRDefault="00AD1424" w:rsidP="00AD1424">
      <w:pPr>
        <w:spacing w:after="0" w:line="240" w:lineRule="auto"/>
        <w:ind w:firstLine="709"/>
        <w:jc w:val="both"/>
        <w:rPr>
          <w:rFonts w:ascii="Century" w:eastAsia="Calibri" w:hAnsi="Century" w:cs="Times New Roman"/>
          <w:bCs/>
          <w:i/>
          <w:iCs/>
          <w:sz w:val="24"/>
          <w:szCs w:val="24"/>
          <w:lang w:val="es-ES" w:eastAsia="es-ES"/>
        </w:rPr>
      </w:pPr>
      <w:r w:rsidRPr="00AD1424">
        <w:rPr>
          <w:rFonts w:ascii="Century" w:eastAsia="Calibri" w:hAnsi="Century" w:cs="Times New Roman"/>
          <w:bCs/>
          <w:i/>
          <w:iCs/>
          <w:sz w:val="24"/>
          <w:szCs w:val="24"/>
          <w:lang w:val="es-ES" w:eastAsia="es-ES"/>
        </w:rPr>
        <w:t>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 Los bimestres posteriores a la notificación, deberán cubrirse conforme al nuevo valor fiscal.</w:t>
      </w:r>
    </w:p>
    <w:p w:rsidR="00AD1424" w:rsidRPr="00AD1424" w:rsidRDefault="00AD1424" w:rsidP="00AD1424">
      <w:pPr>
        <w:spacing w:after="0" w:line="240" w:lineRule="auto"/>
        <w:ind w:firstLine="709"/>
        <w:jc w:val="both"/>
        <w:rPr>
          <w:rFonts w:ascii="Century" w:eastAsia="Calibri" w:hAnsi="Century" w:cs="Times New Roman"/>
          <w:bCs/>
          <w:i/>
          <w:iCs/>
          <w:sz w:val="24"/>
          <w:szCs w:val="24"/>
          <w:lang w:val="es-ES" w:eastAsia="es-ES"/>
        </w:rPr>
      </w:pPr>
      <w:r w:rsidRPr="00AD1424">
        <w:rPr>
          <w:rFonts w:ascii="Century" w:eastAsia="Calibri" w:hAnsi="Century" w:cs="Times New Roman"/>
          <w:bCs/>
          <w:i/>
          <w:iCs/>
          <w:sz w:val="24"/>
          <w:szCs w:val="24"/>
          <w:lang w:val="es-ES" w:eastAsia="es-ES"/>
        </w:rPr>
        <w:t>(Párrafo reformado. P.O. 22 de diciembre del 2000)</w:t>
      </w:r>
    </w:p>
    <w:p w:rsidR="00AD1424" w:rsidRPr="00AD1424" w:rsidRDefault="00AD1424" w:rsidP="00AD1424">
      <w:pPr>
        <w:spacing w:after="0" w:line="240" w:lineRule="auto"/>
        <w:ind w:firstLine="709"/>
        <w:jc w:val="both"/>
        <w:rPr>
          <w:rFonts w:ascii="Century" w:eastAsia="Calibri" w:hAnsi="Century" w:cs="Times New Roman"/>
          <w:bCs/>
          <w:i/>
          <w:iCs/>
          <w:sz w:val="24"/>
          <w:szCs w:val="24"/>
          <w:lang w:val="es-ES" w:eastAsia="es-ES"/>
        </w:rPr>
      </w:pPr>
    </w:p>
    <w:p w:rsidR="00AD1424" w:rsidRPr="00AD1424" w:rsidRDefault="00AD1424" w:rsidP="00AD1424">
      <w:pPr>
        <w:spacing w:after="0" w:line="240" w:lineRule="auto"/>
        <w:ind w:firstLine="709"/>
        <w:jc w:val="both"/>
        <w:rPr>
          <w:rFonts w:ascii="Century" w:eastAsia="Calibri" w:hAnsi="Century" w:cs="Times New Roman"/>
          <w:bCs/>
          <w:i/>
          <w:iCs/>
          <w:sz w:val="24"/>
          <w:szCs w:val="24"/>
          <w:lang w:val="es-ES" w:eastAsia="es-ES"/>
        </w:rPr>
      </w:pPr>
      <w:r w:rsidRPr="00AD1424">
        <w:rPr>
          <w:rFonts w:ascii="Century" w:eastAsia="Calibri" w:hAnsi="Century" w:cs="Times New Roman"/>
          <w:bCs/>
          <w:i/>
          <w:iCs/>
          <w:sz w:val="24"/>
          <w:szCs w:val="24"/>
          <w:lang w:val="es-ES" w:eastAsia="es-ES"/>
        </w:rPr>
        <w:t>Al término de la vigencia establecida y en tanto se practica el nuevo avalúo, la base del Impuesto Predial seguirá siendo la del último valor fiscal.</w:t>
      </w:r>
    </w:p>
    <w:p w:rsidR="00AD1424" w:rsidRPr="00AD1424" w:rsidRDefault="00AD1424" w:rsidP="00AD1424">
      <w:pPr>
        <w:spacing w:after="0" w:line="240" w:lineRule="auto"/>
        <w:ind w:firstLine="709"/>
        <w:jc w:val="both"/>
        <w:rPr>
          <w:rFonts w:ascii="Century" w:eastAsia="Calibri" w:hAnsi="Century" w:cs="Times New Roman"/>
          <w:bCs/>
          <w:i/>
          <w:iCs/>
          <w:sz w:val="24"/>
          <w:szCs w:val="24"/>
          <w:lang w:val="es-ES" w:eastAsia="es-ES"/>
        </w:rPr>
      </w:pPr>
      <w:r w:rsidRPr="00AD1424">
        <w:rPr>
          <w:rFonts w:ascii="Century" w:eastAsia="Calibri" w:hAnsi="Century" w:cs="Times New Roman"/>
          <w:bCs/>
          <w:i/>
          <w:iCs/>
          <w:sz w:val="24"/>
          <w:szCs w:val="24"/>
          <w:lang w:val="es-ES" w:eastAsia="es-ES"/>
        </w:rPr>
        <w:t>(Párrafo reformado. P.O. 26 de diciembre de 1997)</w:t>
      </w:r>
    </w:p>
    <w:p w:rsidR="00AD1424" w:rsidRPr="00AD1424" w:rsidRDefault="00AD1424" w:rsidP="00AD1424">
      <w:pPr>
        <w:spacing w:after="0" w:line="240" w:lineRule="auto"/>
        <w:ind w:firstLine="709"/>
        <w:jc w:val="both"/>
        <w:rPr>
          <w:rFonts w:ascii="Century" w:eastAsia="Calibri" w:hAnsi="Century" w:cs="Times New Roman"/>
          <w:bCs/>
          <w:i/>
          <w:iCs/>
          <w:sz w:val="24"/>
          <w:szCs w:val="24"/>
          <w:lang w:val="es-ES" w:eastAsia="es-ES"/>
        </w:rPr>
      </w:pPr>
    </w:p>
    <w:p w:rsidR="00AD1424" w:rsidRPr="00AD1424" w:rsidRDefault="00AD1424" w:rsidP="00AD1424">
      <w:pPr>
        <w:spacing w:after="0" w:line="240" w:lineRule="auto"/>
        <w:ind w:firstLine="709"/>
        <w:jc w:val="both"/>
        <w:rPr>
          <w:rFonts w:ascii="Century" w:eastAsia="Calibri" w:hAnsi="Century" w:cs="Times New Roman"/>
          <w:bCs/>
          <w:i/>
          <w:iCs/>
          <w:sz w:val="24"/>
          <w:szCs w:val="24"/>
          <w:lang w:val="es-ES" w:eastAsia="es-ES"/>
        </w:rPr>
      </w:pPr>
      <w:r w:rsidRPr="00AD1424">
        <w:rPr>
          <w:rFonts w:ascii="Century" w:eastAsia="Calibri" w:hAnsi="Century" w:cs="Times New Roman"/>
          <w:bCs/>
          <w:i/>
          <w:iCs/>
          <w:sz w:val="24"/>
          <w:szCs w:val="24"/>
          <w:lang w:val="es-ES" w:eastAsia="es-ES"/>
        </w:rPr>
        <w:t>Cuando el contribuyente cubra por anualidad el impuesto predial y posteriormente la autoridad municipal ordene la práctica de un avalúo, no podrá exigirse el pago de las diferencias que resulten del valor anterior y el que arroje el avalúo practicado, en el ejercicio fiscal en que se llevó a cabo el avalúo.</w:t>
      </w:r>
    </w:p>
    <w:p w:rsidR="00AD1424" w:rsidRPr="00AD1424" w:rsidRDefault="00AD1424" w:rsidP="00AD1424">
      <w:pPr>
        <w:spacing w:after="0" w:line="240" w:lineRule="auto"/>
        <w:ind w:firstLine="709"/>
        <w:jc w:val="both"/>
        <w:rPr>
          <w:rFonts w:ascii="Century" w:eastAsia="Calibri" w:hAnsi="Century" w:cs="Times New Roman"/>
          <w:bCs/>
          <w:i/>
          <w:iCs/>
          <w:sz w:val="24"/>
          <w:szCs w:val="24"/>
          <w:lang w:val="es-ES" w:eastAsia="es-ES"/>
        </w:rPr>
      </w:pPr>
      <w:r w:rsidRPr="00AD1424">
        <w:rPr>
          <w:rFonts w:ascii="Century" w:eastAsia="Calibri" w:hAnsi="Century" w:cs="Times New Roman"/>
          <w:bCs/>
          <w:i/>
          <w:iCs/>
          <w:sz w:val="24"/>
          <w:szCs w:val="24"/>
          <w:lang w:val="es-ES" w:eastAsia="es-ES"/>
        </w:rPr>
        <w:t>(Párrafo adicionado. P.O. 22 de diciembre del 2000)</w:t>
      </w:r>
    </w:p>
    <w:p w:rsidR="00AD1424" w:rsidRPr="00AD1424" w:rsidRDefault="00AD1424" w:rsidP="00AD1424">
      <w:pPr>
        <w:spacing w:after="0" w:line="240" w:lineRule="auto"/>
        <w:jc w:val="both"/>
        <w:rPr>
          <w:rFonts w:ascii="Verdana" w:eastAsia="Calibri" w:hAnsi="Verdana" w:cs="Arial"/>
          <w:sz w:val="20"/>
          <w:szCs w:val="20"/>
          <w:lang w:val="es-ES" w:eastAsia="es-ES"/>
        </w:rPr>
      </w:pPr>
    </w:p>
    <w:p w:rsidR="00AD1424" w:rsidRPr="00AD1424" w:rsidRDefault="00AD1424" w:rsidP="00AD1424">
      <w:pPr>
        <w:spacing w:after="0" w:line="240" w:lineRule="auto"/>
        <w:ind w:firstLine="709"/>
        <w:jc w:val="both"/>
        <w:rPr>
          <w:rFonts w:ascii="Century" w:eastAsia="Calibri" w:hAnsi="Century" w:cs="Times New Roman"/>
          <w:bCs/>
          <w:i/>
          <w:iCs/>
          <w:sz w:val="24"/>
          <w:szCs w:val="24"/>
          <w:lang w:val="es-ES" w:eastAsia="es-ES"/>
        </w:rPr>
      </w:pPr>
    </w:p>
    <w:p w:rsidR="00AD1424" w:rsidRPr="00AD1424" w:rsidRDefault="00AD1424" w:rsidP="00AD1424">
      <w:pPr>
        <w:spacing w:after="0" w:line="240" w:lineRule="auto"/>
        <w:ind w:firstLine="709"/>
        <w:jc w:val="both"/>
        <w:rPr>
          <w:rFonts w:ascii="Century" w:eastAsia="Calibri" w:hAnsi="Century" w:cs="Times New Roman"/>
          <w:bCs/>
          <w:i/>
          <w:iCs/>
          <w:sz w:val="24"/>
          <w:szCs w:val="24"/>
          <w:lang w:val="es-ES" w:eastAsia="es-ES"/>
        </w:rPr>
      </w:pPr>
      <w:r w:rsidRPr="00AD1424">
        <w:rPr>
          <w:rFonts w:ascii="Century" w:eastAsia="Calibri" w:hAnsi="Century" w:cs="Times New Roman"/>
          <w:b/>
          <w:bCs/>
          <w:i/>
          <w:iCs/>
          <w:sz w:val="24"/>
          <w:szCs w:val="24"/>
          <w:lang w:val="es-ES" w:eastAsia="es-ES"/>
        </w:rPr>
        <w:t>ARTÍCULO</w:t>
      </w:r>
      <w:r w:rsidRPr="00AD1424">
        <w:rPr>
          <w:rFonts w:ascii="Century" w:eastAsia="Calibri" w:hAnsi="Century" w:cs="Times New Roman"/>
          <w:bCs/>
          <w:i/>
          <w:iCs/>
          <w:sz w:val="24"/>
          <w:szCs w:val="24"/>
          <w:lang w:val="es-ES" w:eastAsia="es-ES"/>
        </w:rPr>
        <w:t xml:space="preserve"> </w:t>
      </w:r>
      <w:r w:rsidRPr="00AD1424">
        <w:rPr>
          <w:rFonts w:ascii="Century" w:eastAsia="Calibri" w:hAnsi="Century" w:cs="Times New Roman"/>
          <w:b/>
          <w:bCs/>
          <w:i/>
          <w:iCs/>
          <w:sz w:val="24"/>
          <w:szCs w:val="24"/>
          <w:lang w:val="es-ES" w:eastAsia="es-ES"/>
        </w:rPr>
        <w:t>176.</w:t>
      </w:r>
      <w:r w:rsidRPr="00AD1424">
        <w:rPr>
          <w:rFonts w:ascii="Century" w:eastAsia="Calibri" w:hAnsi="Century" w:cs="Times New Roman"/>
          <w:bCs/>
          <w:i/>
          <w:iCs/>
          <w:sz w:val="24"/>
          <w:szCs w:val="24"/>
          <w:lang w:val="es-ES" w:eastAsia="es-ES"/>
        </w:rPr>
        <w:t xml:space="preserve"> La práctica de todo avalúo deberá ser ordenada por la Tesorería Municipal por escrito en los casos que esta Ley establece y será practicada por los peritos que se designen para este efecto.</w:t>
      </w:r>
    </w:p>
    <w:p w:rsidR="00AD1424" w:rsidRPr="00AD1424" w:rsidRDefault="00AD1424" w:rsidP="00AD1424">
      <w:pPr>
        <w:spacing w:after="0" w:line="240" w:lineRule="auto"/>
        <w:ind w:firstLine="709"/>
        <w:jc w:val="both"/>
        <w:rPr>
          <w:rFonts w:ascii="Century" w:eastAsia="Calibri" w:hAnsi="Century" w:cs="Times New Roman"/>
          <w:bCs/>
          <w:i/>
          <w:iCs/>
          <w:sz w:val="24"/>
          <w:szCs w:val="24"/>
          <w:lang w:val="es-ES" w:eastAsia="es-ES"/>
        </w:rPr>
      </w:pPr>
    </w:p>
    <w:p w:rsidR="00AD1424" w:rsidRPr="00AD1424" w:rsidRDefault="00AD1424" w:rsidP="00AD1424">
      <w:pPr>
        <w:spacing w:after="0" w:line="240" w:lineRule="auto"/>
        <w:ind w:firstLine="709"/>
        <w:jc w:val="both"/>
        <w:rPr>
          <w:rFonts w:ascii="Century" w:eastAsia="Calibri" w:hAnsi="Century" w:cs="Times New Roman"/>
          <w:bCs/>
          <w:i/>
          <w:iCs/>
          <w:sz w:val="24"/>
          <w:szCs w:val="24"/>
          <w:lang w:val="es-ES" w:eastAsia="es-ES"/>
        </w:rPr>
      </w:pPr>
      <w:r w:rsidRPr="00AD1424">
        <w:rPr>
          <w:rFonts w:ascii="Century" w:eastAsia="Calibri" w:hAnsi="Century" w:cs="Times New Roman"/>
          <w:bCs/>
          <w:i/>
          <w:iCs/>
          <w:sz w:val="24"/>
          <w:szCs w:val="24"/>
          <w:lang w:val="es-ES" w:eastAsia="es-ES"/>
        </w:rPr>
        <w:t xml:space="preserve">Los resultados del avalúo y la determinación del impuesto deberán notificarse al contribuyente, quien tendrá un plazo de treinta días para realizar las aclaraciones que considere pertinentes. </w:t>
      </w:r>
    </w:p>
    <w:p w:rsidR="00AD1424" w:rsidRPr="00AD1424" w:rsidRDefault="00AD1424" w:rsidP="00AD1424">
      <w:pPr>
        <w:spacing w:after="0" w:line="240" w:lineRule="auto"/>
        <w:ind w:firstLine="709"/>
        <w:jc w:val="both"/>
        <w:rPr>
          <w:rFonts w:ascii="Century" w:eastAsia="Calibri" w:hAnsi="Century" w:cs="Times New Roman"/>
          <w:bCs/>
          <w:i/>
          <w:iCs/>
          <w:sz w:val="24"/>
          <w:szCs w:val="24"/>
          <w:lang w:val="es-ES" w:eastAsia="es-ES"/>
        </w:rPr>
      </w:pPr>
      <w:r w:rsidRPr="00AD1424">
        <w:rPr>
          <w:rFonts w:ascii="Century" w:eastAsia="Calibri" w:hAnsi="Century" w:cs="Times New Roman"/>
          <w:bCs/>
          <w:i/>
          <w:iCs/>
          <w:sz w:val="24"/>
          <w:szCs w:val="24"/>
          <w:lang w:val="es-ES" w:eastAsia="es-ES"/>
        </w:rPr>
        <w:t>(Párrafo reformado. P.O. 26 de diciembre de 1997)</w:t>
      </w:r>
    </w:p>
    <w:p w:rsidR="00AD1424" w:rsidRPr="00AD1424" w:rsidRDefault="00AD1424" w:rsidP="00AD1424">
      <w:pPr>
        <w:spacing w:after="0" w:line="240" w:lineRule="auto"/>
        <w:ind w:firstLine="709"/>
        <w:jc w:val="both"/>
        <w:rPr>
          <w:rFonts w:ascii="Century" w:eastAsia="Calibri" w:hAnsi="Century" w:cs="Times New Roman"/>
          <w:bCs/>
          <w:i/>
          <w:iCs/>
          <w:sz w:val="24"/>
          <w:szCs w:val="24"/>
          <w:lang w:val="es-ES" w:eastAsia="es-ES"/>
        </w:rPr>
      </w:pPr>
    </w:p>
    <w:p w:rsidR="00AD1424" w:rsidRPr="00AD1424" w:rsidRDefault="00AD1424" w:rsidP="00AD1424">
      <w:pPr>
        <w:spacing w:after="0" w:line="240" w:lineRule="auto"/>
        <w:ind w:firstLine="709"/>
        <w:jc w:val="both"/>
        <w:rPr>
          <w:rFonts w:ascii="Century" w:eastAsia="Calibri" w:hAnsi="Century" w:cs="Times New Roman"/>
          <w:bCs/>
          <w:i/>
          <w:iCs/>
          <w:sz w:val="24"/>
          <w:szCs w:val="24"/>
          <w:lang w:val="es-ES" w:eastAsia="es-ES"/>
        </w:rPr>
      </w:pPr>
      <w:r w:rsidRPr="00AD1424">
        <w:rPr>
          <w:rFonts w:ascii="Century" w:eastAsia="Calibri" w:hAnsi="Century" w:cs="Times New Roman"/>
          <w:bCs/>
          <w:i/>
          <w:iCs/>
          <w:sz w:val="24"/>
          <w:szCs w:val="24"/>
          <w:lang w:val="es-ES" w:eastAsia="es-ES"/>
        </w:rPr>
        <w:t>La valuación se hará separadamente para el terreno y para las construcciones y se formulará en las formas oficiales expedidas para tales efectos, aplicando los valores unitarios del suelo y construcciones que establece anualmente la Ley de Ingresos para los Municipios del Estado.</w:t>
      </w:r>
    </w:p>
    <w:p w:rsidR="00AD1424" w:rsidRPr="00AD1424" w:rsidRDefault="00AD1424" w:rsidP="00AD1424">
      <w:pPr>
        <w:spacing w:after="0" w:line="240" w:lineRule="auto"/>
        <w:jc w:val="both"/>
        <w:rPr>
          <w:rFonts w:ascii="Verdana" w:eastAsia="Calibri" w:hAnsi="Verdana" w:cs="Arial"/>
          <w:sz w:val="20"/>
          <w:szCs w:val="20"/>
          <w:lang w:val="es-ES" w:eastAsia="es-ES"/>
        </w:rPr>
      </w:pPr>
    </w:p>
    <w:p w:rsidR="00AD1424" w:rsidRPr="00AD1424" w:rsidRDefault="00AD1424" w:rsidP="00AD1424">
      <w:pPr>
        <w:spacing w:after="0" w:line="240" w:lineRule="auto"/>
        <w:jc w:val="both"/>
        <w:rPr>
          <w:rFonts w:ascii="Verdana" w:eastAsia="Calibri" w:hAnsi="Verdana" w:cs="Arial"/>
          <w:sz w:val="20"/>
          <w:szCs w:val="20"/>
          <w:lang w:val="es-ES" w:eastAsia="es-ES"/>
        </w:rPr>
      </w:pPr>
    </w:p>
    <w:p w:rsidR="00AD1424" w:rsidRPr="00AD1424" w:rsidRDefault="00AD1424" w:rsidP="00AD1424">
      <w:pPr>
        <w:spacing w:after="0" w:line="240" w:lineRule="auto"/>
        <w:ind w:firstLine="709"/>
        <w:jc w:val="both"/>
        <w:rPr>
          <w:rFonts w:ascii="Century" w:eastAsia="Calibri" w:hAnsi="Century" w:cs="Times New Roman"/>
          <w:bCs/>
          <w:i/>
          <w:iCs/>
          <w:sz w:val="24"/>
          <w:szCs w:val="24"/>
          <w:lang w:val="es-ES" w:eastAsia="es-ES"/>
        </w:rPr>
      </w:pPr>
      <w:r w:rsidRPr="00AD1424">
        <w:rPr>
          <w:rFonts w:ascii="Century" w:eastAsia="Calibri" w:hAnsi="Century" w:cs="Times New Roman"/>
          <w:b/>
          <w:bCs/>
          <w:i/>
          <w:iCs/>
          <w:sz w:val="24"/>
          <w:szCs w:val="24"/>
          <w:lang w:val="es-ES" w:eastAsia="es-ES"/>
        </w:rPr>
        <w:t>ARTÍCULO</w:t>
      </w:r>
      <w:r w:rsidRPr="00AD1424">
        <w:rPr>
          <w:rFonts w:ascii="Century" w:eastAsia="Calibri" w:hAnsi="Century" w:cs="Times New Roman"/>
          <w:bCs/>
          <w:i/>
          <w:iCs/>
          <w:sz w:val="24"/>
          <w:szCs w:val="24"/>
          <w:lang w:val="es-ES" w:eastAsia="es-ES"/>
        </w:rPr>
        <w:t xml:space="preserve"> </w:t>
      </w:r>
      <w:r w:rsidRPr="00AD1424">
        <w:rPr>
          <w:rFonts w:ascii="Century" w:eastAsia="Calibri" w:hAnsi="Century" w:cs="Times New Roman"/>
          <w:b/>
          <w:bCs/>
          <w:i/>
          <w:iCs/>
          <w:sz w:val="24"/>
          <w:szCs w:val="24"/>
          <w:lang w:val="es-ES" w:eastAsia="es-ES"/>
        </w:rPr>
        <w:t>177.</w:t>
      </w:r>
      <w:r w:rsidRPr="00AD1424">
        <w:rPr>
          <w:rFonts w:ascii="Century" w:eastAsia="Calibri" w:hAnsi="Century" w:cs="Times New Roman"/>
          <w:bCs/>
          <w:i/>
          <w:iCs/>
          <w:sz w:val="24"/>
          <w:szCs w:val="24"/>
          <w:lang w:val="es-ES" w:eastAsia="es-ES"/>
        </w:rPr>
        <w:t xml:space="preserve"> En la práctica de los avalúos a que se refiere la fracción II del artículo 162 de esta Ley, los peritos deberán presentarse en hora y día hábiles y se identificarán con la documentación correspondiente, en el inmueble que deba ser objeto de la valuación y mostrarán a los ocupantes la orden respectiva.</w:t>
      </w:r>
    </w:p>
    <w:p w:rsidR="00AD1424" w:rsidRPr="00AD1424" w:rsidRDefault="00AD1424" w:rsidP="00AD1424">
      <w:pPr>
        <w:spacing w:after="0" w:line="240" w:lineRule="auto"/>
        <w:ind w:firstLine="709"/>
        <w:jc w:val="both"/>
        <w:rPr>
          <w:rFonts w:ascii="Century" w:eastAsia="Calibri" w:hAnsi="Century" w:cs="Times New Roman"/>
          <w:bCs/>
          <w:i/>
          <w:iCs/>
          <w:sz w:val="24"/>
          <w:szCs w:val="24"/>
          <w:lang w:val="es-ES" w:eastAsia="es-ES"/>
        </w:rPr>
      </w:pPr>
      <w:r w:rsidRPr="00AD1424">
        <w:rPr>
          <w:rFonts w:ascii="Century" w:eastAsia="Calibri" w:hAnsi="Century" w:cs="Times New Roman"/>
          <w:bCs/>
          <w:i/>
          <w:iCs/>
          <w:sz w:val="24"/>
          <w:szCs w:val="24"/>
          <w:lang w:val="es-ES" w:eastAsia="es-ES"/>
        </w:rPr>
        <w:t xml:space="preserve">(Párrafo reformado. P.O. 26 de diciembre de 1997) </w:t>
      </w:r>
    </w:p>
    <w:p w:rsidR="00AD1424" w:rsidRPr="00AD1424" w:rsidRDefault="00AD1424" w:rsidP="00AD1424">
      <w:pPr>
        <w:spacing w:after="0" w:line="240" w:lineRule="auto"/>
        <w:ind w:firstLine="709"/>
        <w:jc w:val="both"/>
        <w:rPr>
          <w:rFonts w:ascii="Century" w:eastAsia="Calibri" w:hAnsi="Century" w:cs="Times New Roman"/>
          <w:bCs/>
          <w:i/>
          <w:iCs/>
          <w:sz w:val="24"/>
          <w:szCs w:val="24"/>
          <w:lang w:val="es-ES" w:eastAsia="es-ES"/>
        </w:rPr>
      </w:pPr>
    </w:p>
    <w:p w:rsidR="00AD1424" w:rsidRPr="00AD1424" w:rsidRDefault="00AD1424" w:rsidP="00AD1424">
      <w:pPr>
        <w:spacing w:after="0" w:line="240" w:lineRule="auto"/>
        <w:ind w:firstLine="709"/>
        <w:jc w:val="both"/>
        <w:rPr>
          <w:rFonts w:ascii="Century" w:eastAsia="Calibri" w:hAnsi="Century" w:cs="Times New Roman"/>
          <w:bCs/>
          <w:i/>
          <w:iCs/>
          <w:sz w:val="24"/>
          <w:szCs w:val="24"/>
          <w:lang w:val="es-ES" w:eastAsia="es-ES"/>
        </w:rPr>
      </w:pPr>
      <w:r w:rsidRPr="00AD1424">
        <w:rPr>
          <w:rFonts w:ascii="Century" w:eastAsia="Calibri" w:hAnsi="Century" w:cs="Times New Roman"/>
          <w:bCs/>
          <w:i/>
          <w:iCs/>
          <w:sz w:val="24"/>
          <w:szCs w:val="24"/>
          <w:lang w:val="es-ES" w:eastAsia="es-ES"/>
        </w:rPr>
        <w:t>Si los ocupantes se opusieran en cualquier forma a la inspección del perito designado para efectuar la valuación, éste lo hará constar en acta circunstanciada firmada por él y dos testigos e informará esa situación a la Tesorería Municipal para que se apliquen las sanciones correspondientes.</w:t>
      </w:r>
    </w:p>
    <w:p w:rsidR="00AD1424" w:rsidRPr="00AD1424" w:rsidRDefault="00AD1424" w:rsidP="00AD1424">
      <w:pPr>
        <w:spacing w:after="0" w:line="240" w:lineRule="auto"/>
        <w:ind w:firstLine="709"/>
        <w:jc w:val="both"/>
        <w:rPr>
          <w:rFonts w:ascii="Century" w:eastAsia="Calibri" w:hAnsi="Century" w:cs="Times New Roman"/>
          <w:bCs/>
          <w:i/>
          <w:iCs/>
          <w:sz w:val="24"/>
          <w:szCs w:val="24"/>
          <w:lang w:val="es-ES" w:eastAsia="es-ES"/>
        </w:rPr>
      </w:pPr>
    </w:p>
    <w:p w:rsidR="00AD1424" w:rsidRPr="00AD1424" w:rsidRDefault="00AD1424" w:rsidP="00AD1424">
      <w:pPr>
        <w:spacing w:after="0" w:line="240" w:lineRule="auto"/>
        <w:ind w:firstLine="709"/>
        <w:jc w:val="both"/>
        <w:rPr>
          <w:rFonts w:ascii="Century" w:eastAsia="Calibri" w:hAnsi="Century" w:cs="Times New Roman"/>
          <w:bCs/>
          <w:i/>
          <w:iCs/>
          <w:sz w:val="24"/>
          <w:szCs w:val="24"/>
          <w:lang w:val="es-ES" w:eastAsia="es-ES"/>
        </w:rPr>
      </w:pPr>
      <w:r w:rsidRPr="00AD1424">
        <w:rPr>
          <w:rFonts w:ascii="Century" w:eastAsia="Calibri" w:hAnsi="Century" w:cs="Times New Roman"/>
          <w:bCs/>
          <w:i/>
          <w:iCs/>
          <w:sz w:val="24"/>
          <w:szCs w:val="24"/>
          <w:lang w:val="es-ES" w:eastAsia="es-ES"/>
        </w:rPr>
        <w:t>En estos casos la valuación se hará con base en los elementos de que se disponga.</w:t>
      </w:r>
    </w:p>
    <w:p w:rsidR="00AD1424" w:rsidRPr="00AD1424" w:rsidRDefault="00AD1424" w:rsidP="00AD1424">
      <w:pPr>
        <w:spacing w:after="0" w:line="240" w:lineRule="auto"/>
        <w:ind w:firstLine="709"/>
        <w:jc w:val="both"/>
        <w:rPr>
          <w:rFonts w:ascii="Century" w:eastAsia="Calibri" w:hAnsi="Century" w:cs="Times New Roman"/>
          <w:bCs/>
          <w:i/>
          <w:iCs/>
          <w:sz w:val="24"/>
          <w:szCs w:val="24"/>
          <w:lang w:val="es-ES" w:eastAsia="es-ES"/>
        </w:rPr>
      </w:pPr>
      <w:r w:rsidRPr="00AD1424">
        <w:rPr>
          <w:rFonts w:ascii="Century" w:eastAsia="Calibri" w:hAnsi="Century" w:cs="Times New Roman"/>
          <w:bCs/>
          <w:i/>
          <w:iCs/>
          <w:sz w:val="24"/>
          <w:szCs w:val="24"/>
          <w:lang w:val="es-ES" w:eastAsia="es-ES"/>
        </w:rPr>
        <w:t xml:space="preserve"> </w:t>
      </w:r>
    </w:p>
    <w:p w:rsidR="00AD1424" w:rsidRPr="00AD1424" w:rsidRDefault="00AD1424" w:rsidP="00AD1424">
      <w:pPr>
        <w:spacing w:after="0" w:line="240" w:lineRule="auto"/>
        <w:ind w:firstLine="709"/>
        <w:jc w:val="both"/>
        <w:rPr>
          <w:rFonts w:ascii="Century" w:eastAsia="Calibri" w:hAnsi="Century" w:cs="Times New Roman"/>
          <w:bCs/>
          <w:i/>
          <w:iCs/>
          <w:sz w:val="24"/>
          <w:szCs w:val="24"/>
          <w:lang w:val="es-ES" w:eastAsia="es-ES"/>
        </w:rPr>
      </w:pPr>
    </w:p>
    <w:p w:rsidR="00AD1424" w:rsidRPr="00AD1424" w:rsidRDefault="00AD1424" w:rsidP="00AD1424">
      <w:pPr>
        <w:spacing w:after="0" w:line="360" w:lineRule="auto"/>
        <w:ind w:firstLine="709"/>
        <w:jc w:val="both"/>
        <w:rPr>
          <w:rFonts w:ascii="Century" w:eastAsia="Calibri" w:hAnsi="Century" w:cs="Times New Roman"/>
          <w:sz w:val="24"/>
          <w:szCs w:val="24"/>
          <w:lang w:val="es-ES" w:eastAsia="es-ES"/>
        </w:rPr>
      </w:pPr>
      <w:r w:rsidRPr="00AD1424">
        <w:rPr>
          <w:rFonts w:ascii="Century" w:eastAsia="Calibri" w:hAnsi="Century" w:cs="Arial Narrow"/>
          <w:sz w:val="24"/>
          <w:szCs w:val="24"/>
          <w:lang w:val="es-ES" w:eastAsia="es-ES"/>
        </w:rPr>
        <w:t xml:space="preserve">Haciendo una interpretación a los artículos en cita, podemos destacar que el valor fiscal de los inmuebles, puede ser modificado </w:t>
      </w:r>
      <w:r w:rsidRPr="00AD1424">
        <w:rPr>
          <w:rFonts w:ascii="Century" w:eastAsia="Calibri" w:hAnsi="Century" w:cs="Times New Roman"/>
          <w:sz w:val="24"/>
          <w:szCs w:val="24"/>
          <w:lang w:val="es-ES" w:eastAsia="es-ES"/>
        </w:rPr>
        <w:t>por la manifestación del valor de los inmuebles hecha por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 no habiendo alguna de las causas anteriores, el valor fiscal únicamente podrá ser modificado por avalúo, la práctica de todo avalúo deberá ser ordenada por la Tesorería Municipal por escrito y deberá ser practicada por los peritos, que ésta designe para este efecto, los resultados del avalúo y la determinación del impuesto deberán notificarse al contribuyente, quien tendrá un plazo de treinta días para realizar las aclaraciones que considere pertinentes, para la práctica de  avalúos señalados en la fracción II del artículo 162 de la referida Ley, los peritos deberán presentarse en hora y día hábiles y se identificarán con la documentación correspondiente, en el inmueble que deba ser objeto de la valuación y mostrarán a los ocupantes la orden respectiva, si los ocupantes se opusieran en cualquier forma a la inspección, se hará constar en acta circunstanciada firmada por el perito y dos testigos e informará esa situación a la Tesorería Municipal para que se apliquen las sanciones correspondientes. --------------------------------------------------</w:t>
      </w:r>
    </w:p>
    <w:p w:rsidR="00AD1424" w:rsidRPr="00AD1424" w:rsidRDefault="00AD1424" w:rsidP="00AD1424">
      <w:pPr>
        <w:spacing w:after="0" w:line="360" w:lineRule="auto"/>
        <w:ind w:firstLine="709"/>
        <w:jc w:val="both"/>
        <w:rPr>
          <w:rFonts w:ascii="Century" w:eastAsia="Calibri" w:hAnsi="Century" w:cs="Times New Roman"/>
          <w:sz w:val="24"/>
          <w:szCs w:val="24"/>
          <w:lang w:val="es-ES" w:eastAsia="es-ES"/>
        </w:rPr>
      </w:pPr>
    </w:p>
    <w:p w:rsidR="00AD1424" w:rsidRPr="00AD1424" w:rsidRDefault="00AD1424" w:rsidP="00AD1424">
      <w:pPr>
        <w:spacing w:after="0" w:line="360" w:lineRule="auto"/>
        <w:ind w:firstLine="708"/>
        <w:jc w:val="both"/>
        <w:rPr>
          <w:rFonts w:ascii="Century" w:eastAsia="Calibri" w:hAnsi="Century" w:cs="Times New Roman"/>
          <w:sz w:val="24"/>
          <w:szCs w:val="24"/>
          <w:lang w:val="es-ES" w:eastAsia="es-ES"/>
        </w:rPr>
      </w:pPr>
      <w:r w:rsidRPr="00AD1424">
        <w:rPr>
          <w:rFonts w:ascii="Century" w:eastAsia="Calibri" w:hAnsi="Century" w:cs="Times New Roman"/>
          <w:sz w:val="24"/>
          <w:szCs w:val="24"/>
          <w:lang w:val="es-ES" w:eastAsia="es-ES"/>
        </w:rPr>
        <w:t xml:space="preserve">En el presente caso, se desprende que al inmueble propiedad de la actora con cuenta predial número 01AA97416001 (cero uno Letra A letra A nueve siete cuatro uno seis cero cero uno), le fue practicado un avalúo en fecha 22 veintidós de noviembre del año 2010 dos mil diez, mediante el cual se le asignó como valor fiscal la cantidad de $2,568,671.36 (Dos millones quinientos sesenta y ocho mil seiscientos setenta y un pesos 36/100 M/N), del avalúo referido se desprende que el motivo del avalúo fue </w:t>
      </w:r>
      <w:r w:rsidRPr="00AD1424">
        <w:rPr>
          <w:rFonts w:ascii="Century" w:eastAsia="Calibri" w:hAnsi="Century" w:cs="Times New Roman"/>
          <w:i/>
          <w:sz w:val="24"/>
          <w:szCs w:val="24"/>
          <w:lang w:val="es-ES" w:eastAsia="es-ES"/>
        </w:rPr>
        <w:t>“regularización”</w:t>
      </w:r>
      <w:r w:rsidRPr="00AD1424">
        <w:rPr>
          <w:rFonts w:ascii="Century" w:eastAsia="Calibri" w:hAnsi="Century" w:cs="Times New Roman"/>
          <w:sz w:val="24"/>
          <w:szCs w:val="24"/>
          <w:lang w:val="es-ES" w:eastAsia="es-ES"/>
        </w:rPr>
        <w:t xml:space="preserve">, sin embargo, el actor señala que dicho avalúo no le fue notificado y además niega </w:t>
      </w:r>
      <w:r w:rsidRPr="00AD1424">
        <w:rPr>
          <w:rFonts w:ascii="Century" w:eastAsia="Calibri" w:hAnsi="Century" w:cs="Times New Roman"/>
          <w:sz w:val="24"/>
          <w:szCs w:val="24"/>
          <w:lang w:val="es-ES" w:eastAsia="es-ES"/>
        </w:rPr>
        <w:lastRenderedPageBreak/>
        <w:t xml:space="preserve">en términos generales se haya realizado de acuerdo al procedimiento señalado para ello en la Ley de Hacienda para los Municipios del Estado de Guanajuato. </w:t>
      </w:r>
    </w:p>
    <w:p w:rsidR="00AD1424" w:rsidRPr="00AD1424" w:rsidRDefault="00AD1424" w:rsidP="00AD1424">
      <w:pPr>
        <w:spacing w:after="0" w:line="360" w:lineRule="auto"/>
        <w:ind w:firstLine="708"/>
        <w:jc w:val="both"/>
        <w:rPr>
          <w:rFonts w:ascii="Century" w:eastAsia="Calibri" w:hAnsi="Century" w:cs="Times New Roman"/>
          <w:sz w:val="24"/>
          <w:szCs w:val="24"/>
          <w:lang w:val="es-ES" w:eastAsia="es-ES"/>
        </w:rPr>
      </w:pPr>
    </w:p>
    <w:p w:rsidR="00AD1424" w:rsidRPr="00AD1424" w:rsidRDefault="00AD1424" w:rsidP="00AD1424">
      <w:pPr>
        <w:spacing w:after="0" w:line="360" w:lineRule="auto"/>
        <w:ind w:firstLine="708"/>
        <w:jc w:val="both"/>
        <w:rPr>
          <w:rFonts w:ascii="Century" w:eastAsia="Calibri" w:hAnsi="Century" w:cs="Times New Roman"/>
          <w:sz w:val="24"/>
          <w:szCs w:val="24"/>
          <w:lang w:val="es-ES" w:eastAsia="es-ES"/>
        </w:rPr>
      </w:pPr>
      <w:r w:rsidRPr="00AD1424">
        <w:rPr>
          <w:rFonts w:ascii="Century" w:eastAsia="Calibri" w:hAnsi="Century" w:cs="Times New Roman"/>
          <w:sz w:val="24"/>
          <w:szCs w:val="24"/>
          <w:lang w:val="es-ES" w:eastAsia="es-ES"/>
        </w:rPr>
        <w:t>Es decir, en autos quedo acreditado la existencia de la modificación del valor fiscal al inmueble propiedad de la parte actora a través del avalúo de fecha 22 veintidós de noviembre del año 2010 dos mil diez, con número de folio 44857 (cuatro cuatro ocho cinco siete), lo anterior, considerando que el actor aporto al sumario diversa documental en copia certificada consistente en el recibo número  RA 8794339 (Letra R letra A ocho siete nueve cuatro tres  tres nueve), de fecha 10 diez de mayo del año 2010 dos mil diez, en el cual se desprende entre otros datos que el valor fiscal del inmueble propiedad del actor con cuenta predial número 01AA97416001 (cero uno Letra A letra A nueve siete cuatro uno seis cero cero uno), en dicha fecha, era por la cantidad de $386,947.00 (trescientos ochenta y seis mil novecientos cuarenta y siete pesos 00/100 M/N). ---------------------------------------------------------------------------------------</w:t>
      </w:r>
    </w:p>
    <w:p w:rsidR="00AD1424" w:rsidRPr="00AD1424" w:rsidRDefault="00AD1424" w:rsidP="00AD1424">
      <w:pPr>
        <w:spacing w:after="0" w:line="360" w:lineRule="auto"/>
        <w:ind w:firstLine="708"/>
        <w:jc w:val="both"/>
        <w:rPr>
          <w:rFonts w:ascii="Century" w:eastAsia="Calibri" w:hAnsi="Century" w:cs="Times New Roman"/>
          <w:sz w:val="24"/>
          <w:szCs w:val="24"/>
          <w:lang w:val="es-ES" w:eastAsia="es-ES"/>
        </w:rPr>
      </w:pPr>
    </w:p>
    <w:p w:rsidR="00AD1424" w:rsidRPr="00AD1424" w:rsidRDefault="00AD1424" w:rsidP="00AD1424">
      <w:pPr>
        <w:spacing w:after="0" w:line="360" w:lineRule="auto"/>
        <w:ind w:firstLine="708"/>
        <w:jc w:val="both"/>
        <w:rPr>
          <w:rFonts w:ascii="Century" w:eastAsia="Calibri" w:hAnsi="Century" w:cs="Times New Roman"/>
          <w:sz w:val="24"/>
          <w:szCs w:val="24"/>
          <w:lang w:val="es-ES" w:eastAsia="es-ES"/>
        </w:rPr>
      </w:pPr>
      <w:r w:rsidRPr="00AD1424">
        <w:rPr>
          <w:rFonts w:ascii="Century" w:eastAsia="Calibri" w:hAnsi="Century" w:cs="Times New Roman"/>
          <w:sz w:val="24"/>
          <w:szCs w:val="24"/>
          <w:lang w:val="es-ES" w:eastAsia="es-ES"/>
        </w:rPr>
        <w:t>Sin embargo, el actor niega lisa y llanamente que la Tesorería Municipal o la Dirección General de Ingresos adscrita a la misma, hayan notificado la orden de valuación por escrito, que hayan notificado legalmente los resultados del avalúo, que peritos autorizados por la Tesorería Municipal o por la Dirección General de Ingresos hayan practicado el avalúo y se hayan actualizado los supuestos previstos en el artículo 162 de la Ley de Hacienda para los Municipios del Estado de Guanajuato. -----------------------------------------</w:t>
      </w:r>
    </w:p>
    <w:p w:rsidR="00AD1424" w:rsidRPr="00AD1424" w:rsidRDefault="00AD1424" w:rsidP="00AD1424">
      <w:pPr>
        <w:tabs>
          <w:tab w:val="left" w:pos="3975"/>
        </w:tabs>
        <w:spacing w:after="0" w:line="360" w:lineRule="auto"/>
        <w:ind w:firstLine="709"/>
        <w:jc w:val="both"/>
        <w:rPr>
          <w:rFonts w:ascii="Century" w:eastAsia="Calibri" w:hAnsi="Century" w:cs="Times New Roman"/>
          <w:sz w:val="24"/>
          <w:szCs w:val="24"/>
          <w:lang w:val="es-ES" w:eastAsia="es-ES"/>
        </w:rPr>
      </w:pPr>
    </w:p>
    <w:p w:rsidR="00AD1424" w:rsidRPr="00AD1424" w:rsidRDefault="00AD1424" w:rsidP="00AD1424">
      <w:pPr>
        <w:spacing w:after="0" w:line="360" w:lineRule="auto"/>
        <w:ind w:firstLine="708"/>
        <w:jc w:val="both"/>
        <w:rPr>
          <w:rFonts w:ascii="Century" w:eastAsia="Calibri" w:hAnsi="Century" w:cs="Times New Roman"/>
          <w:sz w:val="24"/>
          <w:szCs w:val="24"/>
          <w:lang w:val="es-ES" w:eastAsia="es-ES"/>
        </w:rPr>
      </w:pPr>
      <w:r w:rsidRPr="00AD1424">
        <w:rPr>
          <w:rFonts w:ascii="Century" w:eastAsia="Calibri" w:hAnsi="Century" w:cs="Times New Roman"/>
          <w:sz w:val="24"/>
          <w:szCs w:val="24"/>
          <w:lang w:val="es-ES" w:eastAsia="es-ES"/>
        </w:rPr>
        <w:t>Ante tal negativa, de conformidad con lo señalado en el artículo 40 de la Ley de Hacienda para los Municipios del Estado de Guanajuato y 47 del Código de Procedimiento y Justicia Administrativa para el Estado y los Municipios de Guanajuato, las autoridades deben probar los hechos que motiven sus actos. -</w:t>
      </w:r>
    </w:p>
    <w:p w:rsidR="00AD1424" w:rsidRPr="00AD1424" w:rsidRDefault="00AD1424" w:rsidP="00AD1424">
      <w:pPr>
        <w:spacing w:after="0" w:line="360" w:lineRule="auto"/>
        <w:ind w:firstLine="708"/>
        <w:jc w:val="both"/>
        <w:rPr>
          <w:rFonts w:ascii="Century" w:eastAsia="Calibri" w:hAnsi="Century" w:cs="Times New Roman"/>
          <w:sz w:val="24"/>
          <w:szCs w:val="24"/>
          <w:lang w:val="es-ES" w:eastAsia="es-ES"/>
        </w:rPr>
      </w:pPr>
    </w:p>
    <w:p w:rsidR="00AD1424" w:rsidRPr="00AD1424" w:rsidRDefault="00AD1424" w:rsidP="00AD1424">
      <w:pPr>
        <w:spacing w:after="0" w:line="360" w:lineRule="auto"/>
        <w:ind w:firstLine="708"/>
        <w:jc w:val="both"/>
        <w:rPr>
          <w:rFonts w:ascii="Century" w:eastAsia="Calibri" w:hAnsi="Century" w:cs="Times New Roman"/>
          <w:sz w:val="24"/>
          <w:szCs w:val="24"/>
          <w:lang w:val="es-ES" w:eastAsia="es-ES"/>
        </w:rPr>
      </w:pPr>
      <w:r w:rsidRPr="00AD1424">
        <w:rPr>
          <w:rFonts w:ascii="Century" w:eastAsia="Calibri" w:hAnsi="Century" w:cs="Times New Roman"/>
          <w:sz w:val="24"/>
          <w:szCs w:val="24"/>
          <w:lang w:val="es-ES" w:eastAsia="es-ES"/>
        </w:rPr>
        <w:t xml:space="preserve">En el caso en particular y ante la negativa manifiesta del actor, es que correspondía a la autoridad demandada aportar a la presente causa, las constancias que acrediten fehacientemente que dichos actos se llevaron a cabo, cumpliendo los requisitos señalados en la Ley de Hacienda antes referida, es </w:t>
      </w:r>
      <w:r w:rsidRPr="00AD1424">
        <w:rPr>
          <w:rFonts w:ascii="Century" w:eastAsia="Calibri" w:hAnsi="Century" w:cs="Times New Roman"/>
          <w:sz w:val="24"/>
          <w:szCs w:val="24"/>
          <w:lang w:val="es-ES" w:eastAsia="es-ES"/>
        </w:rPr>
        <w:lastRenderedPageBreak/>
        <w:t>decir, la orden de avalúo, acta circunstanciada, notificación de los resultados al particular. ----------------------------------------------------------------------------------------</w:t>
      </w:r>
    </w:p>
    <w:p w:rsidR="00AD1424" w:rsidRPr="00AD1424" w:rsidRDefault="00AD1424" w:rsidP="00AD1424">
      <w:pPr>
        <w:spacing w:after="0" w:line="360" w:lineRule="auto"/>
        <w:ind w:firstLine="708"/>
        <w:jc w:val="both"/>
        <w:rPr>
          <w:rFonts w:ascii="Century" w:eastAsia="Calibri" w:hAnsi="Century" w:cs="Times New Roman"/>
          <w:sz w:val="24"/>
          <w:szCs w:val="24"/>
          <w:lang w:val="es-ES" w:eastAsia="es-ES"/>
        </w:rPr>
      </w:pPr>
    </w:p>
    <w:p w:rsidR="00AD1424" w:rsidRPr="00AD1424" w:rsidRDefault="00AD1424" w:rsidP="00AD1424">
      <w:pPr>
        <w:tabs>
          <w:tab w:val="left" w:pos="3975"/>
        </w:tabs>
        <w:spacing w:after="0" w:line="360" w:lineRule="auto"/>
        <w:ind w:firstLine="709"/>
        <w:jc w:val="both"/>
        <w:rPr>
          <w:rFonts w:ascii="Century" w:eastAsia="Calibri" w:hAnsi="Century" w:cs="Times New Roman"/>
          <w:sz w:val="24"/>
          <w:szCs w:val="24"/>
          <w:lang w:val="es-ES" w:eastAsia="es-ES"/>
        </w:rPr>
      </w:pPr>
      <w:r w:rsidRPr="00AD1424">
        <w:rPr>
          <w:rFonts w:ascii="Century" w:eastAsia="Calibri" w:hAnsi="Century" w:cs="Times New Roman"/>
          <w:sz w:val="24"/>
          <w:szCs w:val="24"/>
          <w:lang w:val="es-ES" w:eastAsia="es-ES"/>
        </w:rPr>
        <w:t>De lo anterior se sigue que, en caso de que la autoridad incumpla con la carga procesal, como es en el caso concreto, de exhibir la orden de avalúo, el acta circunstanciada en la que se llevó a cabo el avalúo y la notificación de los resultados de dicho avalúo al justiciable, la consecuencia será que se tengan por ciertos los hechos narrados por el impugnante; ello según la regla prevista en el artículo 47 del Código de Procedimiento y Justicia Administrativa para el Estado y los Municipios de Guanajuato, a que a la letra dispone: --------------</w:t>
      </w:r>
    </w:p>
    <w:p w:rsidR="00AD1424" w:rsidRPr="00AD1424" w:rsidRDefault="00AD1424" w:rsidP="00AD1424">
      <w:pPr>
        <w:tabs>
          <w:tab w:val="left" w:pos="3975"/>
        </w:tabs>
        <w:spacing w:after="0" w:line="360" w:lineRule="auto"/>
        <w:ind w:firstLine="709"/>
        <w:jc w:val="both"/>
        <w:rPr>
          <w:rFonts w:ascii="Century" w:eastAsia="Calibri" w:hAnsi="Century" w:cs="Times New Roman"/>
          <w:sz w:val="24"/>
          <w:szCs w:val="24"/>
          <w:lang w:val="es-ES" w:eastAsia="es-ES"/>
        </w:rPr>
      </w:pPr>
    </w:p>
    <w:p w:rsidR="00AD1424" w:rsidRPr="00AD1424" w:rsidRDefault="00AD1424" w:rsidP="00AD1424">
      <w:pPr>
        <w:spacing w:after="0" w:line="240" w:lineRule="auto"/>
        <w:ind w:firstLine="709"/>
        <w:jc w:val="both"/>
        <w:rPr>
          <w:rFonts w:ascii="Century" w:eastAsia="Calibri" w:hAnsi="Century" w:cs="Times New Roman"/>
          <w:i/>
          <w:iCs/>
          <w:sz w:val="24"/>
          <w:szCs w:val="24"/>
          <w:lang w:eastAsia="es-ES"/>
        </w:rPr>
      </w:pPr>
      <w:r w:rsidRPr="00AD1424">
        <w:rPr>
          <w:rFonts w:ascii="Century" w:eastAsia="Calibri" w:hAnsi="Century" w:cs="Times New Roman"/>
          <w:b/>
          <w:i/>
          <w:iCs/>
          <w:sz w:val="24"/>
          <w:szCs w:val="24"/>
          <w:lang w:eastAsia="es-ES"/>
        </w:rPr>
        <w:t>Artículo 47.</w:t>
      </w:r>
      <w:r w:rsidRPr="00AD1424">
        <w:rPr>
          <w:rFonts w:ascii="Century" w:eastAsia="Calibri" w:hAnsi="Century" w:cs="Times New Roman"/>
          <w:i/>
          <w:iCs/>
          <w:sz w:val="24"/>
          <w:szCs w:val="24"/>
          <w:lang w:eastAsia="es-ES"/>
        </w:rPr>
        <w:t xml:space="preserve"> Los actos administrativos se presumirán legales; sin embargo, las</w:t>
      </w:r>
      <w:r w:rsidRPr="00AD1424">
        <w:rPr>
          <w:rFonts w:ascii="Verdana" w:eastAsia="Calibri" w:hAnsi="Verdana" w:cs="Arial"/>
          <w:sz w:val="20"/>
          <w:szCs w:val="20"/>
          <w:lang w:val="es-ES" w:eastAsia="es-ES"/>
        </w:rPr>
        <w:t xml:space="preserve"> </w:t>
      </w:r>
      <w:r w:rsidRPr="00AD1424">
        <w:rPr>
          <w:rFonts w:ascii="Century" w:eastAsia="Calibri" w:hAnsi="Century" w:cs="Times New Roman"/>
          <w:i/>
          <w:iCs/>
          <w:sz w:val="24"/>
          <w:szCs w:val="24"/>
          <w:lang w:eastAsia="es-ES"/>
        </w:rPr>
        <w:t>autoridades administrativas deberán probar los hechos que los motiven cuando el interesado los niegue lisa y llanamente, a menos que la negativa implique la afirmación de otro hecho.</w:t>
      </w:r>
    </w:p>
    <w:p w:rsidR="00AD1424" w:rsidRPr="00AD1424" w:rsidRDefault="00AD1424" w:rsidP="00AD1424">
      <w:pPr>
        <w:tabs>
          <w:tab w:val="left" w:pos="3975"/>
        </w:tabs>
        <w:spacing w:after="0" w:line="360" w:lineRule="auto"/>
        <w:ind w:firstLine="709"/>
        <w:jc w:val="both"/>
        <w:rPr>
          <w:rFonts w:ascii="Century" w:eastAsia="Calibri" w:hAnsi="Century" w:cs="Times New Roman"/>
          <w:sz w:val="24"/>
          <w:szCs w:val="24"/>
          <w:lang w:val="es-ES" w:eastAsia="es-ES"/>
        </w:rPr>
      </w:pPr>
    </w:p>
    <w:p w:rsidR="00AD1424" w:rsidRPr="00AD1424" w:rsidRDefault="00AD1424" w:rsidP="00AD1424">
      <w:pPr>
        <w:tabs>
          <w:tab w:val="left" w:pos="3975"/>
        </w:tabs>
        <w:spacing w:after="0" w:line="360" w:lineRule="auto"/>
        <w:ind w:firstLine="709"/>
        <w:jc w:val="both"/>
        <w:rPr>
          <w:rFonts w:ascii="Century" w:eastAsia="Calibri" w:hAnsi="Century" w:cs="Times New Roman"/>
          <w:sz w:val="24"/>
          <w:szCs w:val="24"/>
          <w:lang w:val="es-ES" w:eastAsia="es-ES"/>
        </w:rPr>
      </w:pPr>
    </w:p>
    <w:p w:rsidR="00AD1424" w:rsidRPr="00AD1424" w:rsidRDefault="00AD1424" w:rsidP="00AD1424">
      <w:pPr>
        <w:tabs>
          <w:tab w:val="left" w:pos="3975"/>
        </w:tabs>
        <w:spacing w:after="0" w:line="360" w:lineRule="auto"/>
        <w:ind w:firstLine="709"/>
        <w:jc w:val="both"/>
        <w:rPr>
          <w:rFonts w:ascii="Century" w:eastAsia="Calibri" w:hAnsi="Century" w:cs="Times New Roman"/>
          <w:sz w:val="24"/>
          <w:szCs w:val="24"/>
          <w:lang w:val="es-ES" w:eastAsia="es-ES"/>
        </w:rPr>
      </w:pPr>
      <w:r w:rsidRPr="00AD1424">
        <w:rPr>
          <w:rFonts w:ascii="Century" w:eastAsia="Calibri" w:hAnsi="Century" w:cs="Times New Roman"/>
          <w:sz w:val="24"/>
          <w:szCs w:val="24"/>
          <w:lang w:val="es-ES" w:eastAsia="es-ES"/>
        </w:rPr>
        <w:t>Por tanto, si en la especie la autoridad demandada no acreditó que se haya emitido la orden de avalúo y llevado a cabo la inspección por los peritos autorizados, (no pasa desapercibido para quien resuelve que las demandadas señalan que el avalúo se llevó a cabo con técnicas fotogramétricas, más, sin embargo, ante la inexistencia de la orden de avalúo, no se puede corroborar lo manifestado), es así que se incumplió con lo señalado por el artículo 176, primer y segundo párrafo, de la Ley de Hacienda para los Municipios del Estado de Guanajuato, que a la letra dispone: -------------------------------------------</w:t>
      </w:r>
    </w:p>
    <w:p w:rsidR="00AD1424" w:rsidRPr="00AD1424" w:rsidRDefault="00AD1424" w:rsidP="00AD1424">
      <w:pPr>
        <w:tabs>
          <w:tab w:val="left" w:pos="3975"/>
        </w:tabs>
        <w:spacing w:after="0" w:line="360" w:lineRule="auto"/>
        <w:ind w:firstLine="709"/>
        <w:jc w:val="both"/>
        <w:rPr>
          <w:rFonts w:ascii="Century" w:eastAsia="Calibri" w:hAnsi="Century" w:cs="Times New Roman"/>
          <w:sz w:val="24"/>
          <w:szCs w:val="24"/>
          <w:lang w:val="es-ES" w:eastAsia="es-ES"/>
        </w:rPr>
      </w:pPr>
    </w:p>
    <w:p w:rsidR="00AD1424" w:rsidRPr="00AD1424" w:rsidRDefault="00AD1424" w:rsidP="00AD1424">
      <w:pPr>
        <w:spacing w:after="0" w:line="240" w:lineRule="auto"/>
        <w:ind w:firstLine="709"/>
        <w:jc w:val="both"/>
        <w:rPr>
          <w:rFonts w:ascii="Century" w:eastAsia="Calibri" w:hAnsi="Century" w:cs="Times New Roman"/>
          <w:bCs/>
          <w:i/>
          <w:iCs/>
          <w:sz w:val="24"/>
          <w:szCs w:val="24"/>
          <w:lang w:val="es-ES" w:eastAsia="es-ES"/>
        </w:rPr>
      </w:pPr>
      <w:r w:rsidRPr="00AD1424">
        <w:rPr>
          <w:rFonts w:ascii="Century" w:eastAsia="Calibri" w:hAnsi="Century" w:cs="Times New Roman"/>
          <w:b/>
          <w:bCs/>
          <w:i/>
          <w:iCs/>
          <w:sz w:val="24"/>
          <w:szCs w:val="24"/>
          <w:lang w:val="es-ES" w:eastAsia="es-ES"/>
        </w:rPr>
        <w:t>ARTÍCULO</w:t>
      </w:r>
      <w:r w:rsidRPr="00AD1424">
        <w:rPr>
          <w:rFonts w:ascii="Century" w:eastAsia="Calibri" w:hAnsi="Century" w:cs="Times New Roman"/>
          <w:bCs/>
          <w:i/>
          <w:iCs/>
          <w:sz w:val="24"/>
          <w:szCs w:val="24"/>
          <w:lang w:val="es-ES" w:eastAsia="es-ES"/>
        </w:rPr>
        <w:t xml:space="preserve"> </w:t>
      </w:r>
      <w:r w:rsidRPr="00AD1424">
        <w:rPr>
          <w:rFonts w:ascii="Century" w:eastAsia="Calibri" w:hAnsi="Century" w:cs="Times New Roman"/>
          <w:b/>
          <w:bCs/>
          <w:i/>
          <w:iCs/>
          <w:sz w:val="24"/>
          <w:szCs w:val="24"/>
          <w:lang w:val="es-ES" w:eastAsia="es-ES"/>
        </w:rPr>
        <w:t>176.</w:t>
      </w:r>
      <w:r w:rsidRPr="00AD1424">
        <w:rPr>
          <w:rFonts w:ascii="Century" w:eastAsia="Calibri" w:hAnsi="Century" w:cs="Times New Roman"/>
          <w:bCs/>
          <w:i/>
          <w:iCs/>
          <w:sz w:val="24"/>
          <w:szCs w:val="24"/>
          <w:lang w:val="es-ES" w:eastAsia="es-ES"/>
        </w:rPr>
        <w:t xml:space="preserve"> </w:t>
      </w:r>
      <w:r w:rsidRPr="00AD1424">
        <w:rPr>
          <w:rFonts w:ascii="Century" w:eastAsia="Calibri" w:hAnsi="Century" w:cs="Times New Roman"/>
          <w:bCs/>
          <w:i/>
          <w:iCs/>
          <w:sz w:val="24"/>
          <w:szCs w:val="24"/>
          <w:u w:val="single"/>
          <w:lang w:val="es-ES" w:eastAsia="es-ES"/>
        </w:rPr>
        <w:t>La práctica de todo avalúo deberá ser ordenada por la Tesorería Municipal por escrito</w:t>
      </w:r>
      <w:r w:rsidRPr="00AD1424">
        <w:rPr>
          <w:rFonts w:ascii="Century" w:eastAsia="Calibri" w:hAnsi="Century" w:cs="Times New Roman"/>
          <w:bCs/>
          <w:i/>
          <w:iCs/>
          <w:sz w:val="24"/>
          <w:szCs w:val="24"/>
          <w:lang w:val="es-ES" w:eastAsia="es-ES"/>
        </w:rPr>
        <w:t xml:space="preserve"> en los casos que esta Ley establece y será practicada por los peritos que se designen para este efecto.</w:t>
      </w:r>
    </w:p>
    <w:p w:rsidR="00AD1424" w:rsidRPr="00AD1424" w:rsidRDefault="00AD1424" w:rsidP="00AD1424">
      <w:pPr>
        <w:spacing w:after="0" w:line="240" w:lineRule="auto"/>
        <w:ind w:firstLine="709"/>
        <w:jc w:val="both"/>
        <w:rPr>
          <w:rFonts w:ascii="Century" w:eastAsia="Calibri" w:hAnsi="Century" w:cs="Times New Roman"/>
          <w:bCs/>
          <w:i/>
          <w:iCs/>
          <w:sz w:val="24"/>
          <w:szCs w:val="24"/>
          <w:lang w:val="es-ES" w:eastAsia="es-ES"/>
        </w:rPr>
      </w:pPr>
    </w:p>
    <w:p w:rsidR="00AD1424" w:rsidRPr="00AD1424" w:rsidRDefault="00AD1424" w:rsidP="00AD1424">
      <w:pPr>
        <w:spacing w:after="0" w:line="240" w:lineRule="auto"/>
        <w:ind w:firstLine="709"/>
        <w:jc w:val="both"/>
        <w:rPr>
          <w:rFonts w:ascii="Century" w:eastAsia="Calibri" w:hAnsi="Century" w:cs="Times New Roman"/>
          <w:bCs/>
          <w:i/>
          <w:iCs/>
          <w:sz w:val="24"/>
          <w:szCs w:val="24"/>
          <w:lang w:val="es-ES" w:eastAsia="es-ES"/>
        </w:rPr>
      </w:pPr>
      <w:r w:rsidRPr="00AD1424">
        <w:rPr>
          <w:rFonts w:ascii="Century" w:eastAsia="Calibri" w:hAnsi="Century" w:cs="Times New Roman"/>
          <w:bCs/>
          <w:i/>
          <w:iCs/>
          <w:sz w:val="24"/>
          <w:szCs w:val="24"/>
          <w:lang w:val="es-ES" w:eastAsia="es-ES"/>
        </w:rPr>
        <w:t xml:space="preserve">Los resultados del avalúo y la determinación del impuesto deberán notificarse al contribuyente, quien tendrá un plazo de treinta días para realizar las aclaraciones que considere pertinentes. </w:t>
      </w:r>
    </w:p>
    <w:p w:rsidR="00AD1424" w:rsidRPr="00AD1424" w:rsidRDefault="00AD1424" w:rsidP="00AD1424">
      <w:pPr>
        <w:spacing w:after="0" w:line="240" w:lineRule="auto"/>
        <w:ind w:firstLine="709"/>
        <w:jc w:val="both"/>
        <w:rPr>
          <w:rFonts w:ascii="Century" w:eastAsia="Calibri" w:hAnsi="Century" w:cs="Times New Roman"/>
          <w:bCs/>
          <w:i/>
          <w:iCs/>
          <w:sz w:val="24"/>
          <w:szCs w:val="24"/>
          <w:lang w:val="es-ES" w:eastAsia="es-ES"/>
        </w:rPr>
      </w:pPr>
      <w:r w:rsidRPr="00AD1424">
        <w:rPr>
          <w:rFonts w:ascii="Century" w:eastAsia="Calibri" w:hAnsi="Century" w:cs="Times New Roman"/>
          <w:bCs/>
          <w:i/>
          <w:iCs/>
          <w:sz w:val="24"/>
          <w:szCs w:val="24"/>
          <w:lang w:val="es-ES" w:eastAsia="es-ES"/>
        </w:rPr>
        <w:t>(Párrafo reformado. P.O. 26 de diciembre de 1997)</w:t>
      </w:r>
    </w:p>
    <w:p w:rsidR="00AD1424" w:rsidRPr="00AD1424" w:rsidRDefault="00AD1424" w:rsidP="00AD1424">
      <w:pPr>
        <w:spacing w:after="0" w:line="240" w:lineRule="auto"/>
        <w:ind w:firstLine="709"/>
        <w:jc w:val="both"/>
        <w:rPr>
          <w:rFonts w:ascii="Century" w:eastAsia="Calibri" w:hAnsi="Century" w:cs="Times New Roman"/>
          <w:bCs/>
          <w:i/>
          <w:iCs/>
          <w:sz w:val="24"/>
          <w:szCs w:val="24"/>
          <w:lang w:val="es-ES" w:eastAsia="es-ES"/>
        </w:rPr>
      </w:pPr>
    </w:p>
    <w:p w:rsidR="00AD1424" w:rsidRPr="00AD1424" w:rsidRDefault="00AD1424" w:rsidP="00AD1424">
      <w:pPr>
        <w:spacing w:after="0" w:line="240" w:lineRule="auto"/>
        <w:ind w:firstLine="709"/>
        <w:jc w:val="both"/>
        <w:rPr>
          <w:rFonts w:ascii="Century" w:eastAsia="Calibri" w:hAnsi="Century" w:cs="Times New Roman"/>
          <w:bCs/>
          <w:i/>
          <w:iCs/>
          <w:sz w:val="24"/>
          <w:szCs w:val="24"/>
          <w:lang w:val="es-ES" w:eastAsia="es-ES"/>
        </w:rPr>
      </w:pPr>
    </w:p>
    <w:p w:rsidR="00AD1424" w:rsidRPr="00AD1424" w:rsidRDefault="00AD1424" w:rsidP="00AD1424">
      <w:pPr>
        <w:spacing w:after="0" w:line="360" w:lineRule="auto"/>
        <w:ind w:firstLine="708"/>
        <w:jc w:val="both"/>
        <w:rPr>
          <w:rFonts w:ascii="Century" w:eastAsia="Calibri" w:hAnsi="Century" w:cs="Times New Roman"/>
          <w:sz w:val="24"/>
          <w:szCs w:val="24"/>
          <w:lang w:val="es-ES" w:eastAsia="es-ES"/>
        </w:rPr>
      </w:pPr>
      <w:r w:rsidRPr="00AD1424">
        <w:rPr>
          <w:rFonts w:ascii="Century" w:eastAsia="Calibri" w:hAnsi="Century" w:cs="Times New Roman"/>
          <w:sz w:val="24"/>
          <w:szCs w:val="24"/>
          <w:lang w:val="es-ES" w:eastAsia="es-ES"/>
        </w:rPr>
        <w:t xml:space="preserve">En tal sentido, la demandada para llevar a cabo la actualización del valor fiscal del inmueble propiedad de la actora, debió llevar a cabo el </w:t>
      </w:r>
      <w:r w:rsidRPr="00AD1424">
        <w:rPr>
          <w:rFonts w:ascii="Century" w:eastAsia="Calibri" w:hAnsi="Century" w:cs="Times New Roman"/>
          <w:sz w:val="24"/>
          <w:szCs w:val="24"/>
          <w:lang w:val="es-ES" w:eastAsia="es-ES"/>
        </w:rPr>
        <w:lastRenderedPageBreak/>
        <w:t>procedimiento señalado en los artículos 168, 176 y 177 de la Ley de Hacienda para los Municipios del Estado de Guanajuato, lo que en la especie no aconteció, ello derivado de la inexistencia de las constancias que así lo acrediten, por lo que se actualiza la irregularidad prevista en el artículo 302, fracción III,  del Código de Procedimiento y Justicia Administrativa para el Estado y los Municipios de Guanajuato, y en los términos de la fracción II del artículo 300 del citado Código, se decreta la nulidad total de la actualización del valor fiscal de la cuenta predial número 01AA97416001 (cero uno Letra A Letra A nueve siete cuatro uno seis cero cero uno), en tal sentido, se decreta la nulidad del avalúo con número de folio 44857 cuatro cuatro ocho cinco siete, de fecha 22 veintidós de noviembre del año 2010 dos mil diez. --------------------------</w:t>
      </w:r>
    </w:p>
    <w:p w:rsidR="00AD1424" w:rsidRPr="00AD1424" w:rsidRDefault="00AD1424" w:rsidP="00AD1424">
      <w:pPr>
        <w:spacing w:after="0" w:line="360" w:lineRule="auto"/>
        <w:ind w:firstLine="708"/>
        <w:jc w:val="both"/>
        <w:rPr>
          <w:rFonts w:ascii="Century" w:eastAsia="Calibri" w:hAnsi="Century" w:cs="Times New Roman"/>
          <w:sz w:val="24"/>
          <w:szCs w:val="24"/>
          <w:lang w:val="es-ES" w:eastAsia="es-ES"/>
        </w:rPr>
      </w:pPr>
    </w:p>
    <w:p w:rsidR="00AD1424" w:rsidRPr="00AD1424" w:rsidRDefault="00AD1424" w:rsidP="00AD1424">
      <w:pPr>
        <w:spacing w:after="0" w:line="360" w:lineRule="auto"/>
        <w:ind w:firstLine="708"/>
        <w:jc w:val="both"/>
        <w:rPr>
          <w:rFonts w:ascii="Century" w:eastAsia="Calibri" w:hAnsi="Century" w:cs="Calibri"/>
          <w:b/>
          <w:bCs/>
          <w:sz w:val="24"/>
          <w:szCs w:val="24"/>
          <w:lang w:eastAsia="es-ES"/>
        </w:rPr>
      </w:pPr>
      <w:r w:rsidRPr="00AD1424">
        <w:rPr>
          <w:rFonts w:ascii="Century" w:eastAsia="Calibri" w:hAnsi="Century" w:cs="Times New Roman"/>
          <w:b/>
          <w:sz w:val="24"/>
          <w:szCs w:val="24"/>
          <w:lang w:eastAsia="es-ES"/>
        </w:rPr>
        <w:t xml:space="preserve">SÉPTIMO. </w:t>
      </w:r>
      <w:r w:rsidRPr="00AD1424">
        <w:rPr>
          <w:rFonts w:ascii="Century" w:eastAsia="Calibri" w:hAnsi="Century" w:cs="Arial"/>
          <w:sz w:val="24"/>
          <w:szCs w:val="24"/>
          <w:lang w:eastAsia="es-ES"/>
        </w:rPr>
        <w:t>En virtud de que los argumentos estudiados resultaron fundados y suficientes para declarar la nulidad total del acto impugnado; resulta innecesario el estudio de otros conceptos de impugnación, ya que su análisis no afectaría ni variaría el sentido de esta resolución. ---------------------</w:t>
      </w:r>
    </w:p>
    <w:p w:rsidR="00AD1424" w:rsidRPr="00AD1424" w:rsidRDefault="00AD1424" w:rsidP="00AD1424">
      <w:pPr>
        <w:spacing w:after="0" w:line="360" w:lineRule="auto"/>
        <w:jc w:val="both"/>
        <w:rPr>
          <w:rFonts w:ascii="Century" w:eastAsia="Calibri" w:hAnsi="Century" w:cs="Arial"/>
          <w:sz w:val="24"/>
          <w:szCs w:val="24"/>
          <w:lang w:eastAsia="es-ES"/>
        </w:rPr>
      </w:pPr>
    </w:p>
    <w:p w:rsidR="00AD1424" w:rsidRPr="00AD1424" w:rsidRDefault="00AD1424" w:rsidP="00AD1424">
      <w:pPr>
        <w:spacing w:after="0" w:line="360" w:lineRule="auto"/>
        <w:ind w:firstLine="708"/>
        <w:jc w:val="both"/>
        <w:rPr>
          <w:rFonts w:ascii="Century" w:eastAsia="Calibri" w:hAnsi="Century" w:cs="Arial"/>
          <w:sz w:val="24"/>
          <w:szCs w:val="24"/>
          <w:lang w:eastAsia="es-ES"/>
        </w:rPr>
      </w:pPr>
      <w:r w:rsidRPr="00AD1424">
        <w:rPr>
          <w:rFonts w:ascii="Century" w:eastAsia="Calibri" w:hAnsi="Century" w:cs="Arial"/>
          <w:sz w:val="24"/>
          <w:szCs w:val="24"/>
          <w:lang w:eastAsia="es-ES"/>
        </w:rPr>
        <w:t>Sirve de apoyo a lo anterior la tesis de jurisprudencia que dispone: ------</w:t>
      </w:r>
    </w:p>
    <w:p w:rsidR="00AD1424" w:rsidRPr="00AD1424" w:rsidRDefault="00AD1424" w:rsidP="00AD1424">
      <w:pPr>
        <w:spacing w:after="0" w:line="240" w:lineRule="auto"/>
        <w:ind w:firstLine="708"/>
        <w:jc w:val="both"/>
        <w:rPr>
          <w:rFonts w:ascii="Century" w:eastAsia="Calibri" w:hAnsi="Century" w:cs="Arial"/>
          <w:sz w:val="24"/>
          <w:szCs w:val="24"/>
          <w:lang w:eastAsia="es-ES"/>
        </w:rPr>
      </w:pPr>
    </w:p>
    <w:p w:rsidR="00AD1424" w:rsidRPr="00AD1424" w:rsidRDefault="00AD1424" w:rsidP="00AD1424">
      <w:pPr>
        <w:spacing w:after="0" w:line="240" w:lineRule="auto"/>
        <w:ind w:firstLine="709"/>
        <w:jc w:val="both"/>
        <w:rPr>
          <w:rFonts w:ascii="Century" w:eastAsia="Calibri" w:hAnsi="Century" w:cs="Times New Roman"/>
          <w:i/>
          <w:sz w:val="24"/>
          <w:szCs w:val="24"/>
          <w:lang w:eastAsia="es-ES"/>
        </w:rPr>
      </w:pPr>
      <w:r w:rsidRPr="00AD1424">
        <w:rPr>
          <w:rFonts w:ascii="Century" w:eastAsia="Calibri" w:hAnsi="Century" w:cs="Times New Roman"/>
          <w:b/>
          <w:bCs/>
          <w:i/>
          <w:iCs/>
          <w:sz w:val="24"/>
          <w:szCs w:val="24"/>
          <w:lang w:eastAsia="es-ES"/>
        </w:rPr>
        <w:t xml:space="preserve">“CONCEPTOS DE VIOLACION. CUANDO SU ESTUDIO ES INNECESARIO. </w:t>
      </w:r>
      <w:r w:rsidRPr="00AD1424">
        <w:rPr>
          <w:rFonts w:ascii="Century" w:eastAsia="Calibri" w:hAnsi="Century" w:cs="Times New Roman"/>
          <w:i/>
          <w:iCs/>
          <w:sz w:val="24"/>
          <w:szCs w:val="24"/>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D1424">
        <w:rPr>
          <w:rFonts w:ascii="Century" w:eastAsia="Calibri" w:hAnsi="Century" w:cs="Times New Roman"/>
          <w:i/>
          <w:sz w:val="24"/>
          <w:szCs w:val="24"/>
          <w:lang w:eastAsia="es-ES"/>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AD1424" w:rsidRPr="00AD1424" w:rsidRDefault="00AD1424" w:rsidP="00AD1424">
      <w:pPr>
        <w:spacing w:after="0" w:line="240" w:lineRule="auto"/>
        <w:ind w:firstLine="709"/>
        <w:jc w:val="both"/>
        <w:rPr>
          <w:rFonts w:ascii="Century" w:eastAsia="Calibri" w:hAnsi="Century" w:cs="Times New Roman"/>
          <w:b/>
          <w:sz w:val="24"/>
          <w:szCs w:val="24"/>
          <w:lang w:eastAsia="es-ES"/>
        </w:rPr>
      </w:pPr>
    </w:p>
    <w:p w:rsidR="00AD1424" w:rsidRPr="00AD1424" w:rsidRDefault="00AD1424" w:rsidP="00AD1424">
      <w:pPr>
        <w:spacing w:after="0" w:line="240" w:lineRule="auto"/>
        <w:ind w:firstLine="709"/>
        <w:jc w:val="both"/>
        <w:rPr>
          <w:rFonts w:ascii="Century" w:eastAsia="Calibri" w:hAnsi="Century" w:cs="Times New Roman"/>
          <w:b/>
          <w:sz w:val="24"/>
          <w:szCs w:val="24"/>
          <w:lang w:eastAsia="es-ES"/>
        </w:rPr>
      </w:pPr>
    </w:p>
    <w:p w:rsidR="00AD1424" w:rsidRPr="00AD1424" w:rsidRDefault="00AD1424" w:rsidP="00AD1424">
      <w:pPr>
        <w:spacing w:after="0" w:line="360" w:lineRule="auto"/>
        <w:ind w:firstLine="708"/>
        <w:jc w:val="both"/>
        <w:rPr>
          <w:rFonts w:ascii="Century" w:eastAsia="Calibri" w:hAnsi="Century" w:cs="Times New Roman"/>
          <w:sz w:val="24"/>
          <w:szCs w:val="24"/>
          <w:lang w:val="es-ES" w:eastAsia="es-ES"/>
        </w:rPr>
      </w:pPr>
      <w:r w:rsidRPr="00AD1424">
        <w:rPr>
          <w:rFonts w:ascii="Century" w:eastAsia="Calibri" w:hAnsi="Century" w:cs="Calibri"/>
          <w:b/>
          <w:bCs/>
          <w:iCs/>
          <w:sz w:val="24"/>
          <w:szCs w:val="24"/>
          <w:lang w:val="es-ES" w:eastAsia="es-ES"/>
        </w:rPr>
        <w:t>OCTAVO</w:t>
      </w:r>
      <w:r w:rsidRPr="00AD1424">
        <w:rPr>
          <w:rFonts w:ascii="Century" w:eastAsia="Calibri" w:hAnsi="Century" w:cs="Calibri"/>
          <w:iCs/>
          <w:sz w:val="24"/>
          <w:szCs w:val="24"/>
          <w:lang w:val="es-ES" w:eastAsia="es-ES"/>
        </w:rPr>
        <w:t>. En virtud de haberse decretado la nulidad total d</w:t>
      </w:r>
      <w:r w:rsidRPr="00AD1424">
        <w:rPr>
          <w:rFonts w:ascii="Century" w:eastAsia="Calibri" w:hAnsi="Century" w:cs="Times New Roman"/>
          <w:sz w:val="24"/>
          <w:szCs w:val="24"/>
          <w:lang w:val="es-ES" w:eastAsia="es-ES"/>
        </w:rPr>
        <w:t xml:space="preserve">el avalúo de fecha 22 veintidós de noviembre del año 2010 dos mil diez, con folio 44857 (cuatro cuatro ocho cinco siete), mediante el cual se asignó el valor fiscal de $2,568,671.36 (Dos millones quinientos sesenta y ocho mil seiscientos setenta y un pesos 36/100 M/N), </w:t>
      </w:r>
      <w:r w:rsidRPr="00AD1424">
        <w:rPr>
          <w:rFonts w:ascii="Century" w:eastAsia="Calibri" w:hAnsi="Century" w:cs="Calibri"/>
          <w:iCs/>
          <w:sz w:val="24"/>
          <w:szCs w:val="24"/>
          <w:lang w:val="es-ES" w:eastAsia="es-ES"/>
        </w:rPr>
        <w:t xml:space="preserve">es procedente </w:t>
      </w:r>
      <w:r w:rsidRPr="00AD1424">
        <w:rPr>
          <w:rFonts w:ascii="Century" w:eastAsia="Calibri" w:hAnsi="Century" w:cs="Times New Roman"/>
          <w:sz w:val="24"/>
          <w:szCs w:val="24"/>
          <w:lang w:val="es-ES" w:eastAsia="es-ES"/>
        </w:rPr>
        <w:t xml:space="preserve">lo pretendido por la parte actora, en el sentido de que se pague el impuesto predial conforme a lo establecido en el artículo 168, segundo párrafo de la Ley de Hacienda de los Municipios del Estado de Guanajuato, por lo que el impuesto predial del inmueble propiedad </w:t>
      </w:r>
      <w:r w:rsidRPr="00AD1424">
        <w:rPr>
          <w:rFonts w:ascii="Century" w:eastAsia="Calibri" w:hAnsi="Century" w:cs="Times New Roman"/>
          <w:sz w:val="24"/>
          <w:szCs w:val="24"/>
          <w:lang w:val="es-ES" w:eastAsia="es-ES"/>
        </w:rPr>
        <w:lastRenderedPageBreak/>
        <w:t>del justiciable, correspondiente a la cuenta predial 01AA97416001 (cero uno Letra A Letra A nueve siete cuatro uno seis cero cero uno), ubicado en Antiguo Camino a la Hacienda Arriba, de esta ciudad, deberá calcularse conforme al último valor que se tenga registrado, es decir, de acuerdo al valor del avalúo previo al que a través del presente proceso fue declarado nulo. ---------------------</w:t>
      </w:r>
    </w:p>
    <w:p w:rsidR="00AD1424" w:rsidRPr="00AD1424" w:rsidRDefault="00AD1424" w:rsidP="00AD1424">
      <w:pPr>
        <w:spacing w:after="0" w:line="360" w:lineRule="auto"/>
        <w:ind w:firstLine="709"/>
        <w:jc w:val="both"/>
        <w:rPr>
          <w:rFonts w:ascii="Century" w:eastAsia="Calibri" w:hAnsi="Century" w:cs="Times New Roman"/>
          <w:sz w:val="24"/>
          <w:szCs w:val="24"/>
          <w:lang w:val="es-ES" w:eastAsia="es-ES"/>
        </w:rPr>
      </w:pPr>
    </w:p>
    <w:p w:rsidR="00AD1424" w:rsidRPr="00AD1424" w:rsidRDefault="00AD1424" w:rsidP="00AD1424">
      <w:pPr>
        <w:spacing w:after="0" w:line="360" w:lineRule="auto"/>
        <w:ind w:firstLine="708"/>
        <w:jc w:val="both"/>
        <w:rPr>
          <w:rFonts w:ascii="Century" w:eastAsia="Calibri" w:hAnsi="Century" w:cs="Times New Roman"/>
          <w:sz w:val="24"/>
          <w:szCs w:val="24"/>
          <w:lang w:val="es-ES" w:eastAsia="es-ES"/>
        </w:rPr>
      </w:pPr>
      <w:r w:rsidRPr="00AD1424">
        <w:rPr>
          <w:rFonts w:ascii="Century" w:eastAsia="Calibri" w:hAnsi="Century" w:cs="Times New Roman"/>
          <w:sz w:val="24"/>
          <w:szCs w:val="24"/>
          <w:lang w:val="es-ES" w:eastAsia="es-ES"/>
        </w:rPr>
        <w:t>Por lo expuesto, y con fundamento además en lo dispuesto en los artículos 249, 287, 298, 299, 300, fracción II y V 302, fracción III, del Código de Procedimiento y Justicia Administrativa para el Estado y los Municipios de Guanajuato, es de resolverse y se: ------------------------------------------------------------</w:t>
      </w:r>
    </w:p>
    <w:p w:rsidR="00AD1424" w:rsidRPr="00AD1424" w:rsidRDefault="00AD1424" w:rsidP="00AD1424">
      <w:pPr>
        <w:spacing w:after="0" w:line="360" w:lineRule="auto"/>
        <w:ind w:firstLine="708"/>
        <w:jc w:val="both"/>
        <w:rPr>
          <w:rFonts w:ascii="Century" w:eastAsia="Calibri" w:hAnsi="Century" w:cs="Times New Roman"/>
          <w:sz w:val="24"/>
          <w:szCs w:val="24"/>
          <w:lang w:val="es-ES" w:eastAsia="es-ES"/>
        </w:rPr>
      </w:pPr>
    </w:p>
    <w:p w:rsidR="00AD1424" w:rsidRPr="00AD1424" w:rsidRDefault="00AD1424" w:rsidP="00AD1424">
      <w:pPr>
        <w:spacing w:after="0" w:line="360" w:lineRule="auto"/>
        <w:ind w:firstLine="708"/>
        <w:jc w:val="both"/>
        <w:rPr>
          <w:rFonts w:ascii="Century" w:eastAsia="Calibri" w:hAnsi="Century" w:cs="Times New Roman"/>
          <w:sz w:val="24"/>
          <w:szCs w:val="24"/>
          <w:lang w:val="es-ES" w:eastAsia="es-ES"/>
        </w:rPr>
      </w:pPr>
    </w:p>
    <w:p w:rsidR="00AD1424" w:rsidRPr="00AD1424" w:rsidRDefault="00AD1424" w:rsidP="00AD1424">
      <w:pPr>
        <w:spacing w:after="0" w:line="240" w:lineRule="auto"/>
        <w:jc w:val="center"/>
        <w:rPr>
          <w:rFonts w:ascii="Century" w:eastAsia="Calibri" w:hAnsi="Century" w:cs="Calibri"/>
          <w:iCs/>
          <w:sz w:val="24"/>
          <w:szCs w:val="24"/>
          <w:lang w:eastAsia="es-ES"/>
        </w:rPr>
      </w:pPr>
      <w:r w:rsidRPr="00AD1424">
        <w:rPr>
          <w:rFonts w:ascii="Century" w:eastAsia="Calibri" w:hAnsi="Century" w:cs="Calibri"/>
          <w:b/>
          <w:iCs/>
          <w:sz w:val="24"/>
          <w:szCs w:val="24"/>
          <w:lang w:eastAsia="es-ES"/>
        </w:rPr>
        <w:t xml:space="preserve">R E S U E L V E </w:t>
      </w:r>
      <w:r w:rsidRPr="00AD1424">
        <w:rPr>
          <w:rFonts w:ascii="Century" w:eastAsia="Calibri" w:hAnsi="Century" w:cs="Calibri"/>
          <w:iCs/>
          <w:sz w:val="24"/>
          <w:szCs w:val="24"/>
          <w:lang w:eastAsia="es-ES"/>
        </w:rPr>
        <w:t>:</w:t>
      </w:r>
    </w:p>
    <w:p w:rsidR="00AD1424" w:rsidRPr="00AD1424" w:rsidRDefault="00AD1424" w:rsidP="00AD1424">
      <w:pPr>
        <w:spacing w:after="0" w:line="240" w:lineRule="auto"/>
        <w:jc w:val="center"/>
        <w:rPr>
          <w:rFonts w:ascii="Century" w:eastAsia="Calibri" w:hAnsi="Century" w:cs="Calibri"/>
          <w:iCs/>
          <w:sz w:val="24"/>
          <w:szCs w:val="24"/>
          <w:lang w:eastAsia="es-ES"/>
        </w:rPr>
      </w:pPr>
    </w:p>
    <w:p w:rsidR="00AD1424" w:rsidRPr="00AD1424" w:rsidRDefault="00AD1424" w:rsidP="00AD1424">
      <w:pPr>
        <w:spacing w:after="0" w:line="240" w:lineRule="auto"/>
        <w:jc w:val="both"/>
        <w:rPr>
          <w:rFonts w:ascii="Century" w:eastAsia="Calibri" w:hAnsi="Century" w:cs="Calibri"/>
          <w:sz w:val="24"/>
          <w:szCs w:val="24"/>
          <w:lang w:eastAsia="es-ES"/>
        </w:rPr>
      </w:pPr>
    </w:p>
    <w:p w:rsidR="00AD1424" w:rsidRPr="00AD1424" w:rsidRDefault="00AD1424" w:rsidP="00AD1424">
      <w:pPr>
        <w:spacing w:after="0" w:line="360" w:lineRule="auto"/>
        <w:ind w:firstLine="709"/>
        <w:jc w:val="both"/>
        <w:rPr>
          <w:rFonts w:ascii="Century" w:eastAsia="Calibri" w:hAnsi="Century" w:cs="Calibri"/>
          <w:sz w:val="24"/>
          <w:szCs w:val="24"/>
          <w:lang w:eastAsia="es-ES"/>
        </w:rPr>
      </w:pPr>
      <w:r w:rsidRPr="00AD1424">
        <w:rPr>
          <w:rFonts w:ascii="Century" w:eastAsia="Calibri" w:hAnsi="Century" w:cs="Calibri"/>
          <w:b/>
          <w:bCs/>
          <w:iCs/>
          <w:sz w:val="24"/>
          <w:szCs w:val="24"/>
          <w:lang w:eastAsia="es-ES"/>
        </w:rPr>
        <w:t>PRIMERO</w:t>
      </w:r>
      <w:r w:rsidRPr="00AD1424">
        <w:rPr>
          <w:rFonts w:ascii="Century" w:eastAsia="Calibri" w:hAnsi="Century" w:cs="Calibri"/>
          <w:sz w:val="24"/>
          <w:szCs w:val="24"/>
          <w:lang w:eastAsia="es-ES"/>
        </w:rPr>
        <w:t xml:space="preserve">. Este Juzgado Tercero Administrativo Municipal resultó competente para conocer y resolver del presente proceso administrativo. ------- </w:t>
      </w:r>
    </w:p>
    <w:p w:rsidR="00AD1424" w:rsidRPr="00AD1424" w:rsidRDefault="00AD1424" w:rsidP="00AD1424">
      <w:pPr>
        <w:spacing w:after="0" w:line="360" w:lineRule="auto"/>
        <w:ind w:firstLine="709"/>
        <w:jc w:val="both"/>
        <w:rPr>
          <w:rFonts w:ascii="Century" w:eastAsia="Calibri" w:hAnsi="Century" w:cs="Calibri"/>
          <w:sz w:val="24"/>
          <w:szCs w:val="24"/>
          <w:lang w:eastAsia="es-ES"/>
        </w:rPr>
      </w:pPr>
    </w:p>
    <w:p w:rsidR="00AD1424" w:rsidRPr="00AD1424" w:rsidRDefault="00AD1424" w:rsidP="00AD1424">
      <w:pPr>
        <w:spacing w:after="0" w:line="360" w:lineRule="auto"/>
        <w:ind w:firstLine="709"/>
        <w:jc w:val="both"/>
        <w:rPr>
          <w:rFonts w:ascii="Century" w:eastAsia="Calibri" w:hAnsi="Century" w:cs="Calibri"/>
          <w:b/>
          <w:bCs/>
          <w:iCs/>
          <w:sz w:val="24"/>
          <w:szCs w:val="24"/>
          <w:lang w:eastAsia="es-ES"/>
        </w:rPr>
      </w:pPr>
      <w:r w:rsidRPr="00AD1424">
        <w:rPr>
          <w:rFonts w:ascii="Century" w:eastAsia="Calibri" w:hAnsi="Century" w:cs="Calibri"/>
          <w:b/>
          <w:bCs/>
          <w:iCs/>
          <w:sz w:val="24"/>
          <w:szCs w:val="24"/>
          <w:lang w:eastAsia="es-ES"/>
        </w:rPr>
        <w:t xml:space="preserve">SEGUNDO. </w:t>
      </w:r>
      <w:r w:rsidRPr="00AD1424">
        <w:rPr>
          <w:rFonts w:ascii="Century" w:eastAsia="Calibri" w:hAnsi="Century" w:cs="Calibri"/>
          <w:sz w:val="24"/>
          <w:szCs w:val="24"/>
          <w:lang w:eastAsia="es-ES"/>
        </w:rPr>
        <w:t>Resultó procedente el proceso administrativo promovido por el justiciable, en contra de los actos impugnados. ----------------------------------</w:t>
      </w:r>
    </w:p>
    <w:p w:rsidR="00AD1424" w:rsidRPr="00AD1424" w:rsidRDefault="00AD1424" w:rsidP="00AD1424">
      <w:pPr>
        <w:spacing w:after="0" w:line="360" w:lineRule="auto"/>
        <w:ind w:firstLine="709"/>
        <w:jc w:val="both"/>
        <w:rPr>
          <w:rFonts w:ascii="Century" w:eastAsia="Calibri" w:hAnsi="Century" w:cs="Calibri"/>
          <w:b/>
          <w:bCs/>
          <w:iCs/>
          <w:sz w:val="24"/>
          <w:szCs w:val="24"/>
          <w:lang w:eastAsia="es-ES"/>
        </w:rPr>
      </w:pPr>
    </w:p>
    <w:p w:rsidR="00AD1424" w:rsidRPr="00AD1424" w:rsidRDefault="00AD1424" w:rsidP="00AD1424">
      <w:pPr>
        <w:spacing w:after="0" w:line="360" w:lineRule="auto"/>
        <w:ind w:firstLine="708"/>
        <w:jc w:val="both"/>
        <w:rPr>
          <w:rFonts w:ascii="Century" w:eastAsia="Calibri" w:hAnsi="Century" w:cs="Calibri"/>
          <w:sz w:val="24"/>
          <w:szCs w:val="24"/>
          <w:lang w:val="es-ES" w:eastAsia="es-ES"/>
        </w:rPr>
      </w:pPr>
      <w:r w:rsidRPr="00AD1424">
        <w:rPr>
          <w:rFonts w:ascii="Century" w:eastAsia="Calibri" w:hAnsi="Century" w:cs="Calibri"/>
          <w:b/>
          <w:bCs/>
          <w:iCs/>
          <w:sz w:val="24"/>
          <w:szCs w:val="24"/>
          <w:lang w:val="es-ES" w:eastAsia="es-ES"/>
        </w:rPr>
        <w:t xml:space="preserve">TERCERO. </w:t>
      </w:r>
      <w:r w:rsidRPr="00AD1424">
        <w:rPr>
          <w:rFonts w:ascii="Century" w:eastAsia="Calibri" w:hAnsi="Century" w:cs="Times New Roman"/>
          <w:sz w:val="24"/>
          <w:szCs w:val="24"/>
          <w:lang w:val="es-ES" w:eastAsia="es-ES"/>
        </w:rPr>
        <w:t xml:space="preserve">Se decreta </w:t>
      </w:r>
      <w:r w:rsidRPr="00AD1424">
        <w:rPr>
          <w:rFonts w:ascii="Century" w:eastAsia="Calibri" w:hAnsi="Century" w:cs="Times New Roman"/>
          <w:bCs/>
          <w:sz w:val="24"/>
          <w:szCs w:val="24"/>
          <w:lang w:val="es-ES" w:eastAsia="es-ES"/>
        </w:rPr>
        <w:t>la</w:t>
      </w:r>
      <w:r w:rsidRPr="00AD1424">
        <w:rPr>
          <w:rFonts w:ascii="Century" w:eastAsia="Calibri" w:hAnsi="Century" w:cs="Times New Roman"/>
          <w:b/>
          <w:bCs/>
          <w:sz w:val="24"/>
          <w:szCs w:val="24"/>
          <w:lang w:val="es-ES" w:eastAsia="es-ES"/>
        </w:rPr>
        <w:t xml:space="preserve"> nulidad total </w:t>
      </w:r>
      <w:r w:rsidRPr="00AD1424">
        <w:rPr>
          <w:rFonts w:ascii="Century" w:eastAsia="Calibri" w:hAnsi="Century" w:cs="Times New Roman"/>
          <w:bCs/>
          <w:sz w:val="24"/>
          <w:szCs w:val="24"/>
          <w:lang w:val="es-ES" w:eastAsia="es-ES"/>
        </w:rPr>
        <w:t>del avalúo de fecha 22 veintidós de noviembre del año 2010 dos mil diez, con número de folio 44857 (cuatro cuatro ocho cinco siete)</w:t>
      </w:r>
      <w:r w:rsidRPr="00AD1424">
        <w:rPr>
          <w:rFonts w:ascii="Century" w:eastAsia="Calibri" w:hAnsi="Century" w:cs="Times New Roman"/>
          <w:sz w:val="24"/>
          <w:szCs w:val="24"/>
          <w:lang w:val="es-ES" w:eastAsia="es-ES"/>
        </w:rPr>
        <w:t>, con</w:t>
      </w:r>
      <w:r w:rsidRPr="00AD1424">
        <w:rPr>
          <w:rFonts w:ascii="Century" w:eastAsia="Calibri" w:hAnsi="Century" w:cs="Calibri"/>
          <w:sz w:val="24"/>
          <w:szCs w:val="24"/>
          <w:lang w:val="es-ES" w:eastAsia="es-ES"/>
        </w:rPr>
        <w:t xml:space="preserve"> base a las consideraciones lógicas y jurídicas expresadas en el Considerando Sexto de esta sentencia. -----------------------------</w:t>
      </w:r>
    </w:p>
    <w:p w:rsidR="00AD1424" w:rsidRPr="00AD1424" w:rsidRDefault="00AD1424" w:rsidP="00AD1424">
      <w:pPr>
        <w:spacing w:after="0" w:line="360" w:lineRule="auto"/>
        <w:ind w:firstLine="708"/>
        <w:jc w:val="both"/>
        <w:rPr>
          <w:rFonts w:ascii="Century" w:eastAsia="Calibri" w:hAnsi="Century" w:cs="Calibri"/>
          <w:b/>
          <w:bCs/>
          <w:iCs/>
          <w:sz w:val="24"/>
          <w:szCs w:val="24"/>
          <w:lang w:val="es-ES" w:eastAsia="es-ES"/>
        </w:rPr>
      </w:pPr>
    </w:p>
    <w:p w:rsidR="00AD1424" w:rsidRPr="00AD1424" w:rsidRDefault="00AD1424" w:rsidP="00AD1424">
      <w:pPr>
        <w:spacing w:after="0" w:line="360" w:lineRule="auto"/>
        <w:ind w:firstLine="709"/>
        <w:jc w:val="both"/>
        <w:rPr>
          <w:rFonts w:ascii="Century" w:eastAsia="Calibri" w:hAnsi="Century" w:cs="Times New Roman"/>
          <w:sz w:val="24"/>
          <w:szCs w:val="24"/>
          <w:lang w:eastAsia="es-ES"/>
        </w:rPr>
      </w:pPr>
      <w:r w:rsidRPr="00AD1424">
        <w:rPr>
          <w:rFonts w:ascii="Century" w:eastAsia="Calibri" w:hAnsi="Century" w:cs="Calibri"/>
          <w:b/>
          <w:sz w:val="24"/>
          <w:szCs w:val="24"/>
          <w:lang w:eastAsia="es-ES"/>
        </w:rPr>
        <w:t xml:space="preserve">CUARTO. </w:t>
      </w:r>
      <w:r w:rsidRPr="00AD1424">
        <w:rPr>
          <w:rFonts w:ascii="Century" w:eastAsia="Calibri" w:hAnsi="Century" w:cs="Calibri"/>
          <w:sz w:val="24"/>
          <w:szCs w:val="24"/>
          <w:lang w:eastAsia="es-ES"/>
        </w:rPr>
        <w:t>Se reconoce el derecho del accionante, a efecto de que el cálculo del impuesto predial, se realice conforme al último valor fiscal registrado, de acuerdo a las consideraciones lógicas y jurídicas expuestas en el Considerando Octavo. ----------------------------------------------------------------------------</w:t>
      </w:r>
    </w:p>
    <w:p w:rsidR="00AD1424" w:rsidRPr="00AD1424" w:rsidRDefault="00AD1424" w:rsidP="00AD1424">
      <w:pPr>
        <w:spacing w:after="0" w:line="360" w:lineRule="auto"/>
        <w:jc w:val="both"/>
        <w:rPr>
          <w:rFonts w:ascii="Century" w:eastAsia="Calibri" w:hAnsi="Century" w:cs="Calibri"/>
          <w:sz w:val="24"/>
          <w:szCs w:val="24"/>
          <w:lang w:eastAsia="es-ES"/>
        </w:rPr>
      </w:pPr>
    </w:p>
    <w:p w:rsidR="00AD1424" w:rsidRPr="00AD1424" w:rsidRDefault="00AD1424" w:rsidP="00AD1424">
      <w:pPr>
        <w:spacing w:after="0" w:line="360" w:lineRule="auto"/>
        <w:ind w:firstLine="708"/>
        <w:jc w:val="both"/>
        <w:rPr>
          <w:rFonts w:ascii="Century" w:eastAsia="Calibri" w:hAnsi="Century" w:cs="Calibri"/>
          <w:sz w:val="24"/>
          <w:szCs w:val="24"/>
          <w:lang w:eastAsia="es-ES"/>
        </w:rPr>
      </w:pPr>
      <w:r w:rsidRPr="00AD1424">
        <w:rPr>
          <w:rFonts w:ascii="Century" w:eastAsia="Calibri" w:hAnsi="Century" w:cs="Calibri"/>
          <w:b/>
          <w:sz w:val="24"/>
          <w:szCs w:val="24"/>
          <w:lang w:eastAsia="es-ES"/>
        </w:rPr>
        <w:t>Notifíquese a la autoridad demandada por oficio y a la parte actora personalmente.</w:t>
      </w:r>
      <w:r w:rsidRPr="00AD1424">
        <w:rPr>
          <w:rFonts w:ascii="Century" w:eastAsia="Calibri" w:hAnsi="Century" w:cs="Calibri"/>
          <w:sz w:val="24"/>
          <w:szCs w:val="24"/>
          <w:lang w:eastAsia="es-ES"/>
        </w:rPr>
        <w:t xml:space="preserve"> ------------------------------------------------------------------------------------ </w:t>
      </w:r>
    </w:p>
    <w:p w:rsidR="00AD1424" w:rsidRPr="00AD1424" w:rsidRDefault="00AD1424" w:rsidP="00AD1424">
      <w:pPr>
        <w:spacing w:after="0" w:line="360" w:lineRule="auto"/>
        <w:jc w:val="both"/>
        <w:rPr>
          <w:rFonts w:ascii="Century" w:eastAsia="Calibri" w:hAnsi="Century" w:cs="Calibri"/>
          <w:sz w:val="20"/>
          <w:szCs w:val="20"/>
          <w:lang w:eastAsia="es-ES"/>
        </w:rPr>
      </w:pPr>
    </w:p>
    <w:p w:rsidR="00AD1424" w:rsidRPr="00AD1424" w:rsidRDefault="00AD1424" w:rsidP="00AD1424">
      <w:pPr>
        <w:spacing w:after="0" w:line="360" w:lineRule="auto"/>
        <w:ind w:firstLine="708"/>
        <w:jc w:val="both"/>
        <w:rPr>
          <w:rFonts w:ascii="Century" w:eastAsia="Calibri" w:hAnsi="Century" w:cs="Calibri"/>
          <w:b/>
          <w:bCs/>
          <w:sz w:val="24"/>
          <w:szCs w:val="24"/>
          <w:lang w:eastAsia="es-ES"/>
        </w:rPr>
      </w:pPr>
      <w:r w:rsidRPr="00AD1424">
        <w:rPr>
          <w:rFonts w:ascii="Century" w:eastAsia="Calibri" w:hAnsi="Century" w:cs="Calibri"/>
          <w:sz w:val="24"/>
          <w:szCs w:val="24"/>
          <w:lang w:eastAsia="es-ES"/>
        </w:rPr>
        <w:lastRenderedPageBreak/>
        <w:t xml:space="preserve">En su oportunidad, archívese este expediente, como asunto totalmente concluido y dese de baja en el Libro de Registros que se lleva para tal efecto. - </w:t>
      </w:r>
    </w:p>
    <w:p w:rsidR="00AD1424" w:rsidRPr="00AD1424" w:rsidRDefault="00AD1424" w:rsidP="00AD1424">
      <w:pPr>
        <w:spacing w:after="0" w:line="360" w:lineRule="auto"/>
        <w:jc w:val="both"/>
        <w:rPr>
          <w:rFonts w:ascii="Century" w:eastAsia="Calibri" w:hAnsi="Century" w:cs="Calibri"/>
          <w:sz w:val="20"/>
          <w:szCs w:val="20"/>
          <w:lang w:eastAsia="es-ES"/>
        </w:rPr>
      </w:pPr>
    </w:p>
    <w:p w:rsidR="00AD1424" w:rsidRPr="00AD1424" w:rsidRDefault="00AD1424" w:rsidP="00AD1424">
      <w:pPr>
        <w:tabs>
          <w:tab w:val="left" w:pos="1252"/>
        </w:tabs>
        <w:spacing w:after="0" w:line="360" w:lineRule="auto"/>
        <w:ind w:firstLine="709"/>
        <w:jc w:val="both"/>
        <w:rPr>
          <w:rFonts w:ascii="Century" w:eastAsia="Calibri" w:hAnsi="Century" w:cs="Calibri"/>
          <w:sz w:val="24"/>
          <w:szCs w:val="24"/>
          <w:lang w:val="es-ES" w:eastAsia="es-ES"/>
        </w:rPr>
      </w:pPr>
      <w:r w:rsidRPr="00AD1424">
        <w:rPr>
          <w:rFonts w:ascii="Century" w:eastAsia="Calibri" w:hAnsi="Century" w:cs="Calibri"/>
          <w:sz w:val="24"/>
          <w:szCs w:val="24"/>
          <w:lang w:val="es-ES" w:eastAsia="es-ES"/>
        </w:rPr>
        <w:t xml:space="preserve">Así lo resolvió y firma la Jueza del Juzgado Tercero Administrativo Municipal de León, Guanajuato, licenciada </w:t>
      </w:r>
      <w:r w:rsidRPr="00AD1424">
        <w:rPr>
          <w:rFonts w:ascii="Century" w:eastAsia="Calibri" w:hAnsi="Century" w:cs="Calibri"/>
          <w:b/>
          <w:bCs/>
          <w:sz w:val="24"/>
          <w:szCs w:val="24"/>
          <w:lang w:val="es-ES" w:eastAsia="es-ES"/>
        </w:rPr>
        <w:t>María Guadalupe Garza Lozornio</w:t>
      </w:r>
      <w:r w:rsidRPr="00AD1424">
        <w:rPr>
          <w:rFonts w:ascii="Century" w:eastAsia="Calibri" w:hAnsi="Century" w:cs="Calibri"/>
          <w:sz w:val="24"/>
          <w:szCs w:val="24"/>
          <w:lang w:val="es-ES" w:eastAsia="es-ES"/>
        </w:rPr>
        <w:t xml:space="preserve">, quien actúa asistida en forma legal con Secretario de Estudio y Cuenta, licenciado </w:t>
      </w:r>
      <w:r w:rsidRPr="00AD1424">
        <w:rPr>
          <w:rFonts w:ascii="Century" w:eastAsia="Calibri" w:hAnsi="Century" w:cs="Calibri"/>
          <w:b/>
          <w:bCs/>
          <w:sz w:val="24"/>
          <w:szCs w:val="24"/>
          <w:lang w:val="es-ES" w:eastAsia="es-ES"/>
        </w:rPr>
        <w:t>Christian Helmut Emmanuel Schonwald Escalante</w:t>
      </w:r>
      <w:r w:rsidRPr="00AD1424">
        <w:rPr>
          <w:rFonts w:ascii="Century" w:eastAsia="Calibri" w:hAnsi="Century" w:cs="Calibri"/>
          <w:bCs/>
          <w:sz w:val="24"/>
          <w:szCs w:val="24"/>
          <w:lang w:val="es-ES" w:eastAsia="es-ES"/>
        </w:rPr>
        <w:t>,</w:t>
      </w:r>
      <w:r w:rsidRPr="00AD1424">
        <w:rPr>
          <w:rFonts w:ascii="Century" w:eastAsia="Calibri" w:hAnsi="Century" w:cs="Calibri"/>
          <w:b/>
          <w:bCs/>
          <w:sz w:val="24"/>
          <w:szCs w:val="24"/>
          <w:lang w:val="es-ES" w:eastAsia="es-ES"/>
        </w:rPr>
        <w:t xml:space="preserve"> </w:t>
      </w:r>
      <w:r w:rsidRPr="00AD1424">
        <w:rPr>
          <w:rFonts w:ascii="Century" w:eastAsia="Calibri" w:hAnsi="Century" w:cs="Calibri"/>
          <w:sz w:val="24"/>
          <w:szCs w:val="24"/>
          <w:lang w:val="es-ES" w:eastAsia="es-ES"/>
        </w:rPr>
        <w:t>quien da fe. ---</w:t>
      </w:r>
    </w:p>
    <w:p w:rsidR="00AD1424" w:rsidRPr="00AD1424" w:rsidRDefault="00AD1424" w:rsidP="00AD1424">
      <w:pPr>
        <w:tabs>
          <w:tab w:val="left" w:pos="1252"/>
        </w:tabs>
        <w:spacing w:after="0" w:line="360" w:lineRule="auto"/>
        <w:ind w:firstLine="709"/>
        <w:jc w:val="both"/>
        <w:rPr>
          <w:rFonts w:ascii="Century" w:eastAsia="Calibri" w:hAnsi="Century" w:cs="Calibri"/>
          <w:sz w:val="24"/>
          <w:szCs w:val="24"/>
          <w:lang w:val="es-ES" w:eastAsia="es-ES"/>
        </w:rPr>
      </w:pPr>
    </w:p>
    <w:p w:rsidR="00AD1424" w:rsidRPr="00AD1424" w:rsidRDefault="00AD1424" w:rsidP="00AD1424">
      <w:pPr>
        <w:tabs>
          <w:tab w:val="left" w:pos="1252"/>
        </w:tabs>
        <w:spacing w:after="0" w:line="360" w:lineRule="auto"/>
        <w:ind w:firstLine="709"/>
        <w:jc w:val="both"/>
        <w:rPr>
          <w:rFonts w:ascii="Century" w:eastAsia="Calibri" w:hAnsi="Century" w:cs="Times New Roman"/>
          <w:sz w:val="24"/>
          <w:szCs w:val="24"/>
          <w:lang w:eastAsia="es-ES"/>
        </w:rPr>
      </w:pPr>
    </w:p>
    <w:p w:rsidR="003E0C02" w:rsidRDefault="003E0C02"/>
    <w:sectPr w:rsidR="003E0C02" w:rsidSect="00D97BFF">
      <w:headerReference w:type="even" r:id="rId6"/>
      <w:headerReference w:type="default" r:id="rId7"/>
      <w:footerReference w:type="even" r:id="rId8"/>
      <w:footerReference w:type="default" r:id="rId9"/>
      <w:headerReference w:type="first" r:id="rId10"/>
      <w:footerReference w:type="first" r:id="rId11"/>
      <w:pgSz w:w="12242" w:h="19278" w:code="505"/>
      <w:pgMar w:top="2722" w:right="1474" w:bottom="1985" w:left="2155" w:header="680"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7D6" w:rsidRDefault="00E757D6">
      <w:pPr>
        <w:spacing w:after="0" w:line="240" w:lineRule="auto"/>
      </w:pPr>
      <w:r>
        <w:separator/>
      </w:r>
    </w:p>
  </w:endnote>
  <w:endnote w:type="continuationSeparator" w:id="0">
    <w:p w:rsidR="00E757D6" w:rsidRDefault="00E75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6853E8" w:rsidRPr="00D97BFF" w:rsidRDefault="00AD1424">
            <w:pPr>
              <w:pStyle w:val="Piedepgina"/>
              <w:jc w:val="right"/>
              <w:rPr>
                <w:rFonts w:ascii="Century" w:hAnsi="Century"/>
                <w:sz w:val="14"/>
                <w:szCs w:val="14"/>
              </w:rPr>
            </w:pPr>
            <w:r w:rsidRPr="00D97BFF">
              <w:rPr>
                <w:rFonts w:ascii="Century" w:hAnsi="Century"/>
                <w:sz w:val="14"/>
                <w:szCs w:val="14"/>
              </w:rPr>
              <w:t xml:space="preserve">Página </w:t>
            </w:r>
            <w:r w:rsidRPr="00D97BFF">
              <w:rPr>
                <w:rFonts w:ascii="Century" w:hAnsi="Century"/>
                <w:b/>
                <w:bCs/>
                <w:sz w:val="14"/>
                <w:szCs w:val="14"/>
              </w:rPr>
              <w:fldChar w:fldCharType="begin"/>
            </w:r>
            <w:r w:rsidRPr="00D97BFF">
              <w:rPr>
                <w:rFonts w:ascii="Century" w:hAnsi="Century"/>
                <w:b/>
                <w:bCs/>
                <w:sz w:val="14"/>
                <w:szCs w:val="14"/>
              </w:rPr>
              <w:instrText>PAGE</w:instrText>
            </w:r>
            <w:r w:rsidRPr="00D97BFF">
              <w:rPr>
                <w:rFonts w:ascii="Century" w:hAnsi="Century"/>
                <w:b/>
                <w:bCs/>
                <w:sz w:val="14"/>
                <w:szCs w:val="14"/>
              </w:rPr>
              <w:fldChar w:fldCharType="separate"/>
            </w:r>
            <w:r>
              <w:rPr>
                <w:rFonts w:ascii="Century" w:hAnsi="Century"/>
                <w:b/>
                <w:bCs/>
                <w:noProof/>
                <w:sz w:val="14"/>
                <w:szCs w:val="14"/>
              </w:rPr>
              <w:t>14</w:t>
            </w:r>
            <w:r w:rsidRPr="00D97BFF">
              <w:rPr>
                <w:rFonts w:ascii="Century" w:hAnsi="Century"/>
                <w:b/>
                <w:bCs/>
                <w:sz w:val="14"/>
                <w:szCs w:val="14"/>
              </w:rPr>
              <w:fldChar w:fldCharType="end"/>
            </w:r>
            <w:r w:rsidRPr="00D97BFF">
              <w:rPr>
                <w:rFonts w:ascii="Century" w:hAnsi="Century"/>
                <w:sz w:val="14"/>
                <w:szCs w:val="14"/>
              </w:rPr>
              <w:t xml:space="preserve"> de </w:t>
            </w:r>
            <w:r w:rsidRPr="00D97BFF">
              <w:rPr>
                <w:rFonts w:ascii="Century" w:hAnsi="Century"/>
                <w:b/>
                <w:bCs/>
                <w:sz w:val="14"/>
                <w:szCs w:val="14"/>
              </w:rPr>
              <w:fldChar w:fldCharType="begin"/>
            </w:r>
            <w:r w:rsidRPr="00D97BFF">
              <w:rPr>
                <w:rFonts w:ascii="Century" w:hAnsi="Century"/>
                <w:b/>
                <w:bCs/>
                <w:sz w:val="14"/>
                <w:szCs w:val="14"/>
              </w:rPr>
              <w:instrText>NUMPAGES</w:instrText>
            </w:r>
            <w:r w:rsidRPr="00D97BFF">
              <w:rPr>
                <w:rFonts w:ascii="Century" w:hAnsi="Century"/>
                <w:b/>
                <w:bCs/>
                <w:sz w:val="14"/>
                <w:szCs w:val="14"/>
              </w:rPr>
              <w:fldChar w:fldCharType="separate"/>
            </w:r>
            <w:r>
              <w:rPr>
                <w:rFonts w:ascii="Century" w:hAnsi="Century"/>
                <w:b/>
                <w:bCs/>
                <w:noProof/>
                <w:sz w:val="14"/>
                <w:szCs w:val="14"/>
              </w:rPr>
              <w:t>15</w:t>
            </w:r>
            <w:r w:rsidRPr="00D97BFF">
              <w:rPr>
                <w:rFonts w:ascii="Century" w:hAnsi="Century"/>
                <w:b/>
                <w:bCs/>
                <w:sz w:val="14"/>
                <w:szCs w:val="14"/>
              </w:rPr>
              <w:fldChar w:fldCharType="end"/>
            </w:r>
          </w:p>
        </w:sdtContent>
      </w:sdt>
    </w:sdtContent>
  </w:sdt>
  <w:p w:rsidR="006853E8" w:rsidRDefault="00E757D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6853E8" w:rsidRPr="00D97BFF" w:rsidRDefault="00AD1424" w:rsidP="00F10586">
            <w:pPr>
              <w:pStyle w:val="Piedepgina"/>
              <w:jc w:val="right"/>
              <w:rPr>
                <w:rFonts w:ascii="Century" w:hAnsi="Century"/>
                <w:sz w:val="14"/>
                <w:szCs w:val="14"/>
              </w:rPr>
            </w:pPr>
            <w:r w:rsidRPr="00D97BFF">
              <w:rPr>
                <w:rFonts w:ascii="Century" w:hAnsi="Century"/>
                <w:sz w:val="14"/>
                <w:szCs w:val="14"/>
              </w:rPr>
              <w:t xml:space="preserve">Página </w:t>
            </w:r>
            <w:r w:rsidRPr="00D97BFF">
              <w:rPr>
                <w:rFonts w:ascii="Century" w:hAnsi="Century"/>
                <w:bCs/>
                <w:sz w:val="14"/>
                <w:szCs w:val="14"/>
              </w:rPr>
              <w:fldChar w:fldCharType="begin"/>
            </w:r>
            <w:r w:rsidRPr="00D97BFF">
              <w:rPr>
                <w:rFonts w:ascii="Century" w:hAnsi="Century"/>
                <w:bCs/>
                <w:sz w:val="14"/>
                <w:szCs w:val="14"/>
              </w:rPr>
              <w:instrText>PAGE</w:instrText>
            </w:r>
            <w:r w:rsidRPr="00D97BFF">
              <w:rPr>
                <w:rFonts w:ascii="Century" w:hAnsi="Century"/>
                <w:bCs/>
                <w:sz w:val="14"/>
                <w:szCs w:val="14"/>
              </w:rPr>
              <w:fldChar w:fldCharType="separate"/>
            </w:r>
            <w:r w:rsidR="0006672B">
              <w:rPr>
                <w:rFonts w:ascii="Century" w:hAnsi="Century"/>
                <w:bCs/>
                <w:noProof/>
                <w:sz w:val="14"/>
                <w:szCs w:val="14"/>
              </w:rPr>
              <w:t>1</w:t>
            </w:r>
            <w:r w:rsidRPr="00D97BFF">
              <w:rPr>
                <w:rFonts w:ascii="Century" w:hAnsi="Century"/>
                <w:bCs/>
                <w:sz w:val="14"/>
                <w:szCs w:val="14"/>
              </w:rPr>
              <w:fldChar w:fldCharType="end"/>
            </w:r>
            <w:r w:rsidRPr="00D97BFF">
              <w:rPr>
                <w:rFonts w:ascii="Century" w:hAnsi="Century"/>
                <w:sz w:val="14"/>
                <w:szCs w:val="14"/>
              </w:rPr>
              <w:t xml:space="preserve"> de </w:t>
            </w:r>
            <w:r w:rsidRPr="00D97BFF">
              <w:rPr>
                <w:rFonts w:ascii="Century" w:hAnsi="Century"/>
                <w:bCs/>
                <w:sz w:val="14"/>
                <w:szCs w:val="14"/>
              </w:rPr>
              <w:fldChar w:fldCharType="begin"/>
            </w:r>
            <w:r w:rsidRPr="00D97BFF">
              <w:rPr>
                <w:rFonts w:ascii="Century" w:hAnsi="Century"/>
                <w:bCs/>
                <w:sz w:val="14"/>
                <w:szCs w:val="14"/>
              </w:rPr>
              <w:instrText>NUMPAGES</w:instrText>
            </w:r>
            <w:r w:rsidRPr="00D97BFF">
              <w:rPr>
                <w:rFonts w:ascii="Century" w:hAnsi="Century"/>
                <w:bCs/>
                <w:sz w:val="14"/>
                <w:szCs w:val="14"/>
              </w:rPr>
              <w:fldChar w:fldCharType="separate"/>
            </w:r>
            <w:r w:rsidR="0006672B">
              <w:rPr>
                <w:rFonts w:ascii="Century" w:hAnsi="Century"/>
                <w:bCs/>
                <w:noProof/>
                <w:sz w:val="14"/>
                <w:szCs w:val="14"/>
              </w:rPr>
              <w:t>14</w:t>
            </w:r>
            <w:r w:rsidRPr="00D97BFF">
              <w:rPr>
                <w:rFonts w:ascii="Century" w:hAnsi="Century"/>
                <w:bCs/>
                <w:sz w:val="14"/>
                <w:szCs w:val="14"/>
              </w:rPr>
              <w:fldChar w:fldCharType="end"/>
            </w:r>
          </w:p>
        </w:sdtContent>
      </w:sdt>
    </w:sdtContent>
  </w:sdt>
  <w:p w:rsidR="006853E8" w:rsidRPr="00D97BFF" w:rsidRDefault="00E757D6">
    <w:pPr>
      <w:pStyle w:val="Piedepgina"/>
      <w:rPr>
        <w:sz w:val="14"/>
        <w:szCs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3E8" w:rsidRDefault="00E757D6" w:rsidP="00D97BFF">
    <w:pPr>
      <w:pStyle w:val="Piedepgina"/>
      <w:ind w:firstLine="70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7D6" w:rsidRDefault="00E757D6">
      <w:pPr>
        <w:spacing w:after="0" w:line="240" w:lineRule="auto"/>
      </w:pPr>
      <w:r>
        <w:separator/>
      </w:r>
    </w:p>
  </w:footnote>
  <w:footnote w:type="continuationSeparator" w:id="0">
    <w:p w:rsidR="00E757D6" w:rsidRDefault="00E75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3E8" w:rsidRDefault="00E757D6">
    <w:pPr>
      <w:pStyle w:val="Encabezado"/>
      <w:framePr w:wrap="around" w:vAnchor="text" w:hAnchor="margin" w:xAlign="center" w:y="1"/>
      <w:rPr>
        <w:rStyle w:val="Nmerodepgina"/>
      </w:rPr>
    </w:pPr>
  </w:p>
  <w:p w:rsidR="006853E8" w:rsidRDefault="00E757D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3E8" w:rsidRPr="00AD1424" w:rsidRDefault="00E757D6">
    <w:pPr>
      <w:pStyle w:val="Encabezado"/>
      <w:jc w:val="right"/>
      <w:rPr>
        <w:color w:val="7F7F7F"/>
      </w:rPr>
    </w:pPr>
  </w:p>
  <w:p w:rsidR="006853E8" w:rsidRPr="00AD1424" w:rsidRDefault="00E757D6">
    <w:pPr>
      <w:pStyle w:val="Encabezado"/>
      <w:jc w:val="right"/>
      <w:rPr>
        <w:color w:val="7F7F7F"/>
      </w:rPr>
    </w:pPr>
  </w:p>
  <w:p w:rsidR="006853E8" w:rsidRPr="00AD1424" w:rsidRDefault="00E757D6">
    <w:pPr>
      <w:pStyle w:val="Encabezado"/>
      <w:jc w:val="right"/>
      <w:rPr>
        <w:color w:val="7F7F7F"/>
      </w:rPr>
    </w:pPr>
  </w:p>
  <w:p w:rsidR="006853E8" w:rsidRPr="00AD1424" w:rsidRDefault="00E757D6">
    <w:pPr>
      <w:pStyle w:val="Encabezado"/>
      <w:jc w:val="right"/>
      <w:rPr>
        <w:color w:val="7F7F7F"/>
      </w:rPr>
    </w:pPr>
  </w:p>
  <w:p w:rsidR="006853E8" w:rsidRPr="00AD1424" w:rsidRDefault="00E757D6">
    <w:pPr>
      <w:pStyle w:val="Encabezado"/>
      <w:jc w:val="right"/>
      <w:rPr>
        <w:color w:val="7F7F7F"/>
      </w:rPr>
    </w:pPr>
  </w:p>
  <w:p w:rsidR="006853E8" w:rsidRPr="00AD1424" w:rsidRDefault="00AD1424">
    <w:pPr>
      <w:pStyle w:val="Encabezado"/>
      <w:jc w:val="right"/>
      <w:rPr>
        <w:color w:val="7F7F7F"/>
      </w:rPr>
    </w:pPr>
    <w:r w:rsidRPr="00AD1424">
      <w:rPr>
        <w:color w:val="7F7F7F"/>
      </w:rPr>
      <w:t xml:space="preserve">Expediente número </w:t>
    </w:r>
    <w:sdt>
      <w:sdtPr>
        <w:rPr>
          <w:color w:val="7F7F7F"/>
        </w:rPr>
        <w:alias w:val="Título"/>
        <w:tag w:val=""/>
        <w:id w:val="1773900777"/>
        <w:showingPlcHdr/>
        <w:dataBinding w:prefixMappings="xmlns:ns0='http://purl.org/dc/elements/1.1/' xmlns:ns1='http://schemas.openxmlformats.org/package/2006/metadata/core-properties' " w:xpath="/ns1:coreProperties[1]/ns0:title[1]" w:storeItemID="{6C3C8BC8-F283-45AE-878A-BAB7291924A1}"/>
        <w:text/>
      </w:sdtPr>
      <w:sdtEndPr>
        <w:rPr>
          <w:color w:val="auto"/>
        </w:rPr>
      </w:sdtEndPr>
      <w:sdtContent>
        <w:r w:rsidR="0006672B">
          <w:rPr>
            <w:color w:val="7F7F7F"/>
          </w:rPr>
          <w:t xml:space="preserve">     </w:t>
        </w:r>
      </w:sdtContent>
    </w:sdt>
  </w:p>
  <w:p w:rsidR="006853E8" w:rsidRPr="00AD1424" w:rsidRDefault="00E757D6" w:rsidP="00F10586">
    <w:pPr>
      <w:pStyle w:val="Encabezado"/>
      <w:jc w:val="right"/>
      <w:rPr>
        <w:rFonts w:ascii="Century" w:hAnsi="Century"/>
        <w:color w:val="7F7F7F"/>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rPr>
        <w:color w:val="auto"/>
      </w:rPr>
    </w:sdtEndPr>
    <w:sdtContent>
      <w:p w:rsidR="006853E8" w:rsidRPr="00AD1424" w:rsidRDefault="0006672B">
        <w:pPr>
          <w:pStyle w:val="Encabezado"/>
          <w:jc w:val="right"/>
          <w:rPr>
            <w:color w:val="7F7F7F"/>
          </w:rPr>
        </w:pPr>
        <w:r>
          <w:rPr>
            <w:color w:val="7F7F7F"/>
          </w:rPr>
          <w:t xml:space="preserve">     </w:t>
        </w:r>
      </w:p>
    </w:sdtContent>
  </w:sdt>
  <w:p w:rsidR="006853E8" w:rsidRPr="00AD1424" w:rsidRDefault="00E757D6">
    <w:pPr>
      <w:pStyle w:val="Encabezado"/>
      <w:jc w:val="right"/>
      <w:rPr>
        <w:rFonts w:ascii="Century" w:hAnsi="Century"/>
        <w:color w:val="7F7F7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424"/>
    <w:rsid w:val="0006672B"/>
    <w:rsid w:val="003E0C02"/>
    <w:rsid w:val="009A4D6A"/>
    <w:rsid w:val="00AD1424"/>
    <w:rsid w:val="00E757D6"/>
    <w:rsid w:val="00F95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260B23-E84D-474B-935F-08825380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AD1424"/>
    <w:rPr>
      <w:rFonts w:cs="Times New Roman"/>
    </w:rPr>
  </w:style>
  <w:style w:type="paragraph" w:styleId="Encabezado">
    <w:name w:val="header"/>
    <w:basedOn w:val="Normal"/>
    <w:link w:val="EncabezadoCar"/>
    <w:uiPriority w:val="99"/>
    <w:rsid w:val="00AD1424"/>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AD142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AD142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D1424"/>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4587</Words>
  <Characters>25232</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JUZGADOS</cp:lastModifiedBy>
  <cp:revision>2</cp:revision>
  <dcterms:created xsi:type="dcterms:W3CDTF">2018-05-29T14:26:00Z</dcterms:created>
  <dcterms:modified xsi:type="dcterms:W3CDTF">2018-05-29T14:26:00Z</dcterms:modified>
</cp:coreProperties>
</file>